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D8B" w:rsidRPr="00F634AD" w:rsidRDefault="00735D8B">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E7239B"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Financial and Investment Analysis Report</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 xml:space="preserve">Name </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pPr>
        <w:rPr>
          <w:rFonts w:ascii="Times New Roman" w:hAnsi="Times New Roman" w:cs="Times New Roman"/>
          <w:sz w:val="24"/>
          <w:szCs w:val="24"/>
          <w:lang w:val="en-US"/>
        </w:rPr>
      </w:pPr>
    </w:p>
    <w:p w:rsidR="00735D8B" w:rsidRPr="00587AAA" w:rsidRDefault="00735D8B" w:rsidP="00735D8B">
      <w:pPr>
        <w:rPr>
          <w:rFonts w:ascii="Times New Roman" w:hAnsi="Times New Roman" w:cs="Times New Roman"/>
          <w:sz w:val="24"/>
          <w:szCs w:val="24"/>
          <w:lang w:val="en-US"/>
        </w:rPr>
      </w:pPr>
    </w:p>
    <w:p w:rsidR="00735D8B" w:rsidRPr="00587AAA" w:rsidRDefault="00735D8B">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rsidR="00E7239B" w:rsidRPr="00E7239B" w:rsidRDefault="00E7239B" w:rsidP="00E7239B">
      <w:pPr>
        <w:spacing w:after="0" w:line="480" w:lineRule="auto"/>
        <w:jc w:val="center"/>
        <w:rPr>
          <w:rFonts w:ascii="Times New Roman" w:hAnsi="Times New Roman" w:cs="Times New Roman"/>
          <w:b/>
          <w:sz w:val="24"/>
          <w:szCs w:val="24"/>
          <w:lang w:val="en-US"/>
        </w:rPr>
      </w:pPr>
      <w:r w:rsidRPr="00E7239B">
        <w:rPr>
          <w:rFonts w:ascii="Times New Roman" w:hAnsi="Times New Roman" w:cs="Times New Roman"/>
          <w:b/>
          <w:sz w:val="24"/>
          <w:szCs w:val="24"/>
          <w:lang w:val="en-US"/>
        </w:rPr>
        <w:lastRenderedPageBreak/>
        <w:t>Financial and Investment Analysis Report</w:t>
      </w:r>
    </w:p>
    <w:p w:rsidR="00A93DD6" w:rsidRDefault="00035C0F" w:rsidP="00E7239B">
      <w:pPr>
        <w:spacing w:after="0" w:line="480" w:lineRule="auto"/>
        <w:jc w:val="center"/>
        <w:rPr>
          <w:rFonts w:ascii="Times New Roman" w:hAnsi="Times New Roman" w:cs="Times New Roman"/>
          <w:sz w:val="24"/>
          <w:szCs w:val="24"/>
          <w:lang w:val="en-US"/>
        </w:rPr>
      </w:pPr>
      <w:r w:rsidRPr="00E7239B">
        <w:rPr>
          <w:rFonts w:ascii="Times New Roman" w:hAnsi="Times New Roman" w:cs="Times New Roman"/>
          <w:b/>
          <w:sz w:val="24"/>
          <w:szCs w:val="24"/>
          <w:lang w:val="en-US"/>
        </w:rPr>
        <w:t>Introduction</w:t>
      </w:r>
    </w:p>
    <w:p w:rsidR="00035C0F" w:rsidRDefault="00035C0F" w:rsidP="00E7239B">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This report analyzes </w:t>
      </w:r>
      <w:r w:rsidR="00561D8E">
        <w:rPr>
          <w:rFonts w:ascii="Times New Roman" w:hAnsi="Times New Roman" w:cs="Times New Roman"/>
          <w:sz w:val="24"/>
          <w:szCs w:val="24"/>
          <w:lang w:val="en-US"/>
        </w:rPr>
        <w:t xml:space="preserve">the financial performance of </w:t>
      </w:r>
      <w:r w:rsidR="00561D8E" w:rsidRPr="00561D8E">
        <w:rPr>
          <w:rFonts w:ascii="Times New Roman" w:hAnsi="Times New Roman" w:cs="Times New Roman"/>
          <w:sz w:val="24"/>
          <w:szCs w:val="24"/>
          <w:lang w:val="en-US"/>
        </w:rPr>
        <w:t>Alphabet Inc. (GOOGL)</w:t>
      </w:r>
      <w:r w:rsidR="00561D8E">
        <w:rPr>
          <w:rFonts w:ascii="Times New Roman" w:hAnsi="Times New Roman" w:cs="Times New Roman"/>
          <w:sz w:val="24"/>
          <w:szCs w:val="24"/>
          <w:lang w:val="en-US"/>
        </w:rPr>
        <w:t xml:space="preserve"> and compares the performance with Facebook Inc. which is its key competitor. The analysis involves the use of financial ratios to measure the firms’ performance and financial health. Profit margin ratio is determined in order to measure the profitability of the two firms against the industry average. Return on equity</w:t>
      </w:r>
      <w:r w:rsidR="00561D8E" w:rsidRPr="00561D8E">
        <w:rPr>
          <w:rFonts w:ascii="Times New Roman" w:hAnsi="Times New Roman" w:cs="Times New Roman"/>
          <w:sz w:val="24"/>
          <w:szCs w:val="24"/>
          <w:lang w:val="en-US"/>
        </w:rPr>
        <w:t xml:space="preserve"> ratio is determined in order to measure the </w:t>
      </w:r>
      <w:r w:rsidR="00225161">
        <w:rPr>
          <w:rFonts w:ascii="Times New Roman" w:hAnsi="Times New Roman" w:cs="Times New Roman"/>
          <w:sz w:val="24"/>
          <w:szCs w:val="24"/>
          <w:lang w:val="en-US"/>
        </w:rPr>
        <w:t>management effectiveness</w:t>
      </w:r>
      <w:r w:rsidR="00561D8E" w:rsidRPr="00561D8E">
        <w:rPr>
          <w:rFonts w:ascii="Times New Roman" w:hAnsi="Times New Roman" w:cs="Times New Roman"/>
          <w:sz w:val="24"/>
          <w:szCs w:val="24"/>
          <w:lang w:val="en-US"/>
        </w:rPr>
        <w:t xml:space="preserve"> </w:t>
      </w:r>
      <w:r w:rsidR="00225161">
        <w:rPr>
          <w:rFonts w:ascii="Times New Roman" w:hAnsi="Times New Roman" w:cs="Times New Roman"/>
          <w:sz w:val="24"/>
          <w:szCs w:val="24"/>
          <w:lang w:val="en-US"/>
        </w:rPr>
        <w:t>in utilizing the shareholders’ fund of the two companies. Debt-to-equity ratio and free cash flows are used to measure the companies’ financial health against the industry average. EPS is obtained directly from the annual reports of the companies; it is used to measure the market performance.</w:t>
      </w:r>
    </w:p>
    <w:p w:rsidR="00225161" w:rsidRPr="001F1C46" w:rsidRDefault="00734A3E" w:rsidP="00561D8E">
      <w:pPr>
        <w:spacing w:after="0" w:line="480" w:lineRule="auto"/>
        <w:rPr>
          <w:rFonts w:ascii="Times New Roman" w:hAnsi="Times New Roman" w:cs="Times New Roman"/>
          <w:b/>
          <w:sz w:val="24"/>
          <w:szCs w:val="24"/>
          <w:lang w:val="en-US"/>
        </w:rPr>
      </w:pPr>
      <w:r w:rsidRPr="001F1C46">
        <w:rPr>
          <w:rFonts w:ascii="Times New Roman" w:hAnsi="Times New Roman" w:cs="Times New Roman"/>
          <w:b/>
          <w:sz w:val="24"/>
          <w:szCs w:val="24"/>
          <w:lang w:val="en-US"/>
        </w:rPr>
        <w:t>Alphabet Inc. (GOOGL)</w:t>
      </w:r>
      <w:r w:rsidR="00225161" w:rsidRPr="001F1C46">
        <w:rPr>
          <w:rFonts w:ascii="Times New Roman" w:hAnsi="Times New Roman" w:cs="Times New Roman"/>
          <w:b/>
          <w:sz w:val="24"/>
          <w:szCs w:val="24"/>
          <w:lang w:val="en-US"/>
        </w:rPr>
        <w:t xml:space="preserve"> Description</w:t>
      </w:r>
    </w:p>
    <w:p w:rsidR="00734A3E" w:rsidRDefault="00734A3E" w:rsidP="001F1C46">
      <w:pPr>
        <w:spacing w:after="0" w:line="480" w:lineRule="auto"/>
        <w:ind w:firstLine="708"/>
        <w:rPr>
          <w:rFonts w:ascii="Times New Roman" w:hAnsi="Times New Roman" w:cs="Times New Roman"/>
          <w:sz w:val="24"/>
          <w:szCs w:val="24"/>
          <w:lang w:val="en-US"/>
        </w:rPr>
      </w:pPr>
      <w:r w:rsidRPr="00561D8E">
        <w:rPr>
          <w:rFonts w:ascii="Times New Roman" w:hAnsi="Times New Roman" w:cs="Times New Roman"/>
          <w:sz w:val="24"/>
          <w:szCs w:val="24"/>
          <w:lang w:val="en-US"/>
        </w:rPr>
        <w:t>Alphabet Inc. (GOOGL)</w:t>
      </w:r>
      <w:r>
        <w:rPr>
          <w:rFonts w:ascii="Times New Roman" w:hAnsi="Times New Roman" w:cs="Times New Roman"/>
          <w:sz w:val="24"/>
          <w:szCs w:val="24"/>
          <w:lang w:val="en-US"/>
        </w:rPr>
        <w:t xml:space="preserve"> is a holding company incorporated on July 23, 2015. The businesses of the company include Google Inc. and </w:t>
      </w:r>
      <w:r w:rsidRPr="00734A3E">
        <w:rPr>
          <w:rFonts w:ascii="Times New Roman" w:hAnsi="Times New Roman" w:cs="Times New Roman"/>
          <w:sz w:val="24"/>
          <w:szCs w:val="24"/>
          <w:lang w:val="en-US"/>
        </w:rPr>
        <w:t>its Internet products</w:t>
      </w:r>
      <w:r>
        <w:rPr>
          <w:rFonts w:ascii="Times New Roman" w:hAnsi="Times New Roman" w:cs="Times New Roman"/>
          <w:sz w:val="24"/>
          <w:szCs w:val="24"/>
          <w:lang w:val="en-US"/>
        </w:rPr>
        <w:t xml:space="preserve">. The company operates through the Google segments and </w:t>
      </w:r>
      <w:r w:rsidR="001F1C46">
        <w:rPr>
          <w:rFonts w:ascii="Times New Roman" w:hAnsi="Times New Roman" w:cs="Times New Roman"/>
          <w:sz w:val="24"/>
          <w:szCs w:val="24"/>
          <w:lang w:val="en-US"/>
        </w:rPr>
        <w:t>O</w:t>
      </w:r>
      <w:r>
        <w:rPr>
          <w:rFonts w:ascii="Times New Roman" w:hAnsi="Times New Roman" w:cs="Times New Roman"/>
          <w:sz w:val="24"/>
          <w:szCs w:val="24"/>
          <w:lang w:val="en-US"/>
        </w:rPr>
        <w:t xml:space="preserve">ther </w:t>
      </w:r>
      <w:r w:rsidR="001F1C46">
        <w:rPr>
          <w:rFonts w:ascii="Times New Roman" w:hAnsi="Times New Roman" w:cs="Times New Roman"/>
          <w:sz w:val="24"/>
          <w:szCs w:val="24"/>
          <w:lang w:val="en-US"/>
        </w:rPr>
        <w:t>Bets segment</w:t>
      </w:r>
      <w:r>
        <w:rPr>
          <w:rFonts w:ascii="Times New Roman" w:hAnsi="Times New Roman" w:cs="Times New Roman"/>
          <w:sz w:val="24"/>
          <w:szCs w:val="24"/>
          <w:lang w:val="en-US"/>
        </w:rPr>
        <w:t xml:space="preserve">. Google segments include like Search, Ads, Commerce, Maps, You Tube, Google cloud, Google Android, and Google Play. The operations of the google segment include advertising, digital content sales, applications and cloud offerings, and sale of the hardware products. </w:t>
      </w:r>
      <w:r w:rsidR="001F1C46">
        <w:rPr>
          <w:rFonts w:ascii="Times New Roman" w:hAnsi="Times New Roman" w:cs="Times New Roman"/>
          <w:sz w:val="24"/>
          <w:szCs w:val="24"/>
          <w:lang w:val="en-US"/>
        </w:rPr>
        <w:t xml:space="preserve">The operations of the Other Bets segment include sales of internet and television services via the Google Fiber, sales of Nest products and services, and licensing and research and development products. Google is engaged in infrastructure investment, management of data, analytics, and artificial intelligence. </w:t>
      </w:r>
    </w:p>
    <w:p w:rsidR="001F1C46" w:rsidRDefault="001F1C46" w:rsidP="001F1C46">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Facebook Inc. (FB)</w:t>
      </w:r>
      <w:r w:rsidRPr="001F1C46">
        <w:rPr>
          <w:rFonts w:ascii="Times New Roman" w:hAnsi="Times New Roman" w:cs="Times New Roman"/>
          <w:b/>
          <w:sz w:val="24"/>
          <w:szCs w:val="24"/>
          <w:lang w:val="en-US"/>
        </w:rPr>
        <w:t xml:space="preserve"> Description</w:t>
      </w:r>
    </w:p>
    <w:p w:rsidR="001F1C46" w:rsidRDefault="00042E34" w:rsidP="00147AF0">
      <w:pPr>
        <w:spacing w:after="0" w:line="480" w:lineRule="auto"/>
        <w:ind w:firstLine="708"/>
        <w:rPr>
          <w:rFonts w:ascii="Times New Roman" w:hAnsi="Times New Roman" w:cs="Times New Roman"/>
          <w:sz w:val="24"/>
          <w:szCs w:val="24"/>
          <w:lang w:val="en-US"/>
        </w:rPr>
      </w:pPr>
      <w:r w:rsidRPr="00042E34">
        <w:rPr>
          <w:rFonts w:ascii="Times New Roman" w:hAnsi="Times New Roman" w:cs="Times New Roman"/>
          <w:sz w:val="24"/>
          <w:szCs w:val="24"/>
          <w:lang w:val="en-US"/>
        </w:rPr>
        <w:t>Facebook Inc.</w:t>
      </w:r>
      <w:r>
        <w:rPr>
          <w:rFonts w:ascii="Times New Roman" w:hAnsi="Times New Roman" w:cs="Times New Roman"/>
          <w:sz w:val="24"/>
          <w:szCs w:val="24"/>
          <w:lang w:val="en-US"/>
        </w:rPr>
        <w:t xml:space="preserve"> is incorporated on July 29, 2004</w:t>
      </w:r>
      <w:r w:rsidR="00655A0D">
        <w:rPr>
          <w:rFonts w:ascii="Times New Roman" w:hAnsi="Times New Roman" w:cs="Times New Roman"/>
          <w:sz w:val="24"/>
          <w:szCs w:val="24"/>
          <w:lang w:val="en-US"/>
        </w:rPr>
        <w:t xml:space="preserve">. The company focuses on building products that allows connection amongst people through mobile phones and personal </w:t>
      </w:r>
      <w:r w:rsidR="00655A0D">
        <w:rPr>
          <w:rFonts w:ascii="Times New Roman" w:hAnsi="Times New Roman" w:cs="Times New Roman"/>
          <w:sz w:val="24"/>
          <w:szCs w:val="24"/>
          <w:lang w:val="en-US"/>
        </w:rPr>
        <w:lastRenderedPageBreak/>
        <w:t xml:space="preserve">computers.  It also enables people to share ideas, photos and other files through mobile devices, personal computers and other surfaces. Through the company, people are able to learn about what is going on in the world around them, </w:t>
      </w:r>
      <w:r w:rsidR="00655A0D" w:rsidRPr="00655A0D">
        <w:rPr>
          <w:rFonts w:ascii="Times New Roman" w:hAnsi="Times New Roman" w:cs="Times New Roman"/>
          <w:sz w:val="24"/>
          <w:szCs w:val="24"/>
          <w:lang w:val="en-US"/>
        </w:rPr>
        <w:t>enables people to share their opinions, ideas, photos and videos, and other activities with audiences ranging from their friends to the public, and stay connected by accessing its products</w:t>
      </w:r>
      <w:r w:rsidR="00655A0D">
        <w:rPr>
          <w:rFonts w:ascii="Times New Roman" w:hAnsi="Times New Roman" w:cs="Times New Roman"/>
          <w:sz w:val="24"/>
          <w:szCs w:val="24"/>
          <w:lang w:val="en-US"/>
        </w:rPr>
        <w:t xml:space="preserve">. Products offered by Facebook Inc. include Facebook, Instagram, Messenger, WhatsApp and Oculus. </w:t>
      </w:r>
      <w:r w:rsidR="005633D2">
        <w:rPr>
          <w:rFonts w:ascii="Times New Roman" w:hAnsi="Times New Roman" w:cs="Times New Roman"/>
          <w:sz w:val="24"/>
          <w:szCs w:val="24"/>
          <w:lang w:val="en-US"/>
        </w:rPr>
        <w:t xml:space="preserve">Facebook Inc. engages in selling advertising placement to marketers; this allows its marketers to reach people based on age, gender, location, interest, and behaviors. </w:t>
      </w:r>
      <w:r w:rsidR="000D3937" w:rsidRPr="000D3937">
        <w:rPr>
          <w:rFonts w:ascii="Times New Roman" w:hAnsi="Times New Roman" w:cs="Times New Roman"/>
          <w:sz w:val="24"/>
          <w:szCs w:val="24"/>
          <w:lang w:val="en-US"/>
        </w:rPr>
        <w:t>Marketers purchase advertisements that can appear in multiple places, including on Facebook, Instagram, and third-party applications and Websites.</w:t>
      </w:r>
      <w:r w:rsidR="000D3937">
        <w:rPr>
          <w:rFonts w:ascii="Times New Roman" w:hAnsi="Times New Roman" w:cs="Times New Roman"/>
          <w:sz w:val="24"/>
          <w:szCs w:val="24"/>
          <w:lang w:val="en-US"/>
        </w:rPr>
        <w:t xml:space="preserve"> Various ways to engage on Facebook include News Feed. </w:t>
      </w:r>
    </w:p>
    <w:p w:rsidR="005C28CA" w:rsidRPr="00E7239B" w:rsidRDefault="00EB592D" w:rsidP="00EB592D">
      <w:pPr>
        <w:spacing w:after="0" w:line="480" w:lineRule="auto"/>
        <w:rPr>
          <w:rFonts w:ascii="Times New Roman" w:hAnsi="Times New Roman" w:cs="Times New Roman"/>
          <w:b/>
          <w:sz w:val="24"/>
          <w:szCs w:val="24"/>
          <w:lang w:val="en-US"/>
        </w:rPr>
      </w:pPr>
      <w:r w:rsidRPr="00E7239B">
        <w:rPr>
          <w:rFonts w:ascii="Times New Roman" w:hAnsi="Times New Roman" w:cs="Times New Roman"/>
          <w:b/>
          <w:sz w:val="24"/>
          <w:szCs w:val="24"/>
          <w:lang w:val="en-US"/>
        </w:rPr>
        <w:t>Return</w:t>
      </w:r>
    </w:p>
    <w:p w:rsidR="005C28CA" w:rsidRDefault="005C28CA" w:rsidP="00E7239B">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The return is calculated from the monthly stock price for three years (from June 1, 2016 to June 1, 2019). The returns are calculated using the excel formula. The performance of the two stocks is analyzed using mean return and standard deviation of the return; this helps to determine the best stock to invest in. </w:t>
      </w:r>
      <w:r w:rsidR="00B86683">
        <w:rPr>
          <w:rFonts w:ascii="Times New Roman" w:hAnsi="Times New Roman" w:cs="Times New Roman"/>
          <w:sz w:val="24"/>
          <w:szCs w:val="24"/>
          <w:lang w:val="en-US"/>
        </w:rPr>
        <w:t xml:space="preserve">The table below shows the mean and standard deviation of the two stocks. </w:t>
      </w:r>
    </w:p>
    <w:tbl>
      <w:tblPr>
        <w:tblStyle w:val="TableGrid"/>
        <w:tblW w:w="0" w:type="auto"/>
        <w:tblLook w:val="04A0" w:firstRow="1" w:lastRow="0" w:firstColumn="1" w:lastColumn="0" w:noHBand="0" w:noVBand="1"/>
      </w:tblPr>
      <w:tblGrid>
        <w:gridCol w:w="2586"/>
        <w:gridCol w:w="1639"/>
        <w:gridCol w:w="1260"/>
      </w:tblGrid>
      <w:tr w:rsidR="00B86683" w:rsidRPr="00B86683" w:rsidTr="00B86683">
        <w:trPr>
          <w:trHeight w:val="315"/>
        </w:trPr>
        <w:tc>
          <w:tcPr>
            <w:tcW w:w="2586" w:type="dxa"/>
            <w:noWrap/>
          </w:tcPr>
          <w:p w:rsidR="00B86683" w:rsidRPr="00B86683" w:rsidRDefault="00B86683" w:rsidP="00B86683">
            <w:pPr>
              <w:rPr>
                <w:rFonts w:ascii="Times New Roman" w:hAnsi="Times New Roman" w:cs="Times New Roman"/>
                <w:sz w:val="24"/>
                <w:szCs w:val="24"/>
              </w:rPr>
            </w:pPr>
          </w:p>
        </w:tc>
        <w:tc>
          <w:tcPr>
            <w:tcW w:w="1639" w:type="dxa"/>
            <w:noWrap/>
          </w:tcPr>
          <w:p w:rsidR="00B86683" w:rsidRPr="00B86683" w:rsidRDefault="00B86683" w:rsidP="00B86683">
            <w:pPr>
              <w:jc w:val="center"/>
              <w:rPr>
                <w:rFonts w:ascii="Times New Roman" w:hAnsi="Times New Roman" w:cs="Times New Roman"/>
                <w:b/>
                <w:sz w:val="24"/>
                <w:szCs w:val="24"/>
                <w:lang w:val="en-US"/>
              </w:rPr>
            </w:pPr>
            <w:r w:rsidRPr="00B86683">
              <w:rPr>
                <w:rFonts w:ascii="Times New Roman" w:hAnsi="Times New Roman" w:cs="Times New Roman"/>
                <w:b/>
                <w:sz w:val="24"/>
                <w:szCs w:val="24"/>
                <w:lang w:val="en-US"/>
              </w:rPr>
              <w:t>GOOGL</w:t>
            </w:r>
          </w:p>
        </w:tc>
        <w:tc>
          <w:tcPr>
            <w:tcW w:w="1260" w:type="dxa"/>
          </w:tcPr>
          <w:p w:rsidR="00B86683" w:rsidRPr="00B86683" w:rsidRDefault="00B86683" w:rsidP="00B86683">
            <w:pPr>
              <w:jc w:val="center"/>
              <w:rPr>
                <w:rFonts w:ascii="Times New Roman" w:eastAsia="Times New Roman" w:hAnsi="Times New Roman" w:cs="Times New Roman"/>
                <w:b/>
                <w:color w:val="000000"/>
                <w:sz w:val="24"/>
                <w:szCs w:val="24"/>
                <w:lang w:val="en-US"/>
              </w:rPr>
            </w:pPr>
            <w:r w:rsidRPr="00B86683">
              <w:rPr>
                <w:rFonts w:ascii="Times New Roman" w:eastAsia="Times New Roman" w:hAnsi="Times New Roman" w:cs="Times New Roman"/>
                <w:b/>
                <w:color w:val="000000"/>
                <w:sz w:val="24"/>
                <w:szCs w:val="24"/>
                <w:lang w:val="en-US"/>
              </w:rPr>
              <w:t>FB</w:t>
            </w:r>
          </w:p>
        </w:tc>
      </w:tr>
      <w:tr w:rsidR="00B86683" w:rsidRPr="00B86683" w:rsidTr="00B86683">
        <w:trPr>
          <w:trHeight w:val="315"/>
        </w:trPr>
        <w:tc>
          <w:tcPr>
            <w:tcW w:w="2586" w:type="dxa"/>
            <w:noWrap/>
            <w:hideMark/>
          </w:tcPr>
          <w:p w:rsidR="00B86683" w:rsidRPr="00B86683" w:rsidRDefault="00B86683" w:rsidP="00B86683">
            <w:pPr>
              <w:rPr>
                <w:rFonts w:ascii="Times New Roman" w:hAnsi="Times New Roman" w:cs="Times New Roman"/>
                <w:sz w:val="24"/>
                <w:szCs w:val="24"/>
              </w:rPr>
            </w:pPr>
            <w:r w:rsidRPr="00B86683">
              <w:rPr>
                <w:rFonts w:ascii="Times New Roman" w:hAnsi="Times New Roman" w:cs="Times New Roman"/>
                <w:sz w:val="24"/>
                <w:szCs w:val="24"/>
              </w:rPr>
              <w:t xml:space="preserve">Mean </w:t>
            </w:r>
          </w:p>
        </w:tc>
        <w:tc>
          <w:tcPr>
            <w:tcW w:w="1639" w:type="dxa"/>
            <w:noWrap/>
            <w:hideMark/>
          </w:tcPr>
          <w:p w:rsidR="00B86683" w:rsidRPr="00B86683" w:rsidRDefault="00B86683" w:rsidP="00B86683">
            <w:pPr>
              <w:jc w:val="center"/>
              <w:rPr>
                <w:rFonts w:ascii="Times New Roman" w:hAnsi="Times New Roman" w:cs="Times New Roman"/>
                <w:sz w:val="24"/>
                <w:szCs w:val="24"/>
              </w:rPr>
            </w:pPr>
            <w:r w:rsidRPr="00B86683">
              <w:rPr>
                <w:rFonts w:ascii="Times New Roman" w:hAnsi="Times New Roman" w:cs="Times New Roman"/>
                <w:sz w:val="24"/>
                <w:szCs w:val="24"/>
              </w:rPr>
              <w:t>1.45%</w:t>
            </w:r>
          </w:p>
        </w:tc>
        <w:tc>
          <w:tcPr>
            <w:tcW w:w="1260" w:type="dxa"/>
          </w:tcPr>
          <w:p w:rsidR="00B86683" w:rsidRPr="00B86683" w:rsidRDefault="00B86683" w:rsidP="00B86683">
            <w:pPr>
              <w:jc w:val="center"/>
              <w:rPr>
                <w:rFonts w:ascii="Times New Roman" w:hAnsi="Times New Roman" w:cs="Times New Roman"/>
                <w:sz w:val="24"/>
                <w:szCs w:val="24"/>
                <w:lang w:val="en-US"/>
              </w:rPr>
            </w:pPr>
            <w:r>
              <w:rPr>
                <w:rFonts w:ascii="Times New Roman" w:hAnsi="Times New Roman" w:cs="Times New Roman"/>
                <w:sz w:val="24"/>
                <w:szCs w:val="24"/>
                <w:lang w:val="en-US"/>
              </w:rPr>
              <w:t>1.75%</w:t>
            </w:r>
          </w:p>
        </w:tc>
      </w:tr>
      <w:tr w:rsidR="00B86683" w:rsidRPr="00B86683" w:rsidTr="00B86683">
        <w:trPr>
          <w:trHeight w:val="315"/>
        </w:trPr>
        <w:tc>
          <w:tcPr>
            <w:tcW w:w="2586" w:type="dxa"/>
            <w:noWrap/>
            <w:hideMark/>
          </w:tcPr>
          <w:p w:rsidR="00B86683" w:rsidRPr="00B86683" w:rsidRDefault="00B86683" w:rsidP="00B86683">
            <w:pPr>
              <w:rPr>
                <w:rFonts w:ascii="Times New Roman" w:hAnsi="Times New Roman" w:cs="Times New Roman"/>
                <w:sz w:val="24"/>
                <w:szCs w:val="24"/>
              </w:rPr>
            </w:pPr>
            <w:r w:rsidRPr="00B86683">
              <w:rPr>
                <w:rFonts w:ascii="Times New Roman" w:hAnsi="Times New Roman" w:cs="Times New Roman"/>
                <w:sz w:val="24"/>
                <w:szCs w:val="24"/>
              </w:rPr>
              <w:t>Standard deviation</w:t>
            </w:r>
          </w:p>
        </w:tc>
        <w:tc>
          <w:tcPr>
            <w:tcW w:w="1639" w:type="dxa"/>
            <w:noWrap/>
            <w:hideMark/>
          </w:tcPr>
          <w:p w:rsidR="00B86683" w:rsidRPr="00B86683" w:rsidRDefault="00B86683" w:rsidP="00B86683">
            <w:pPr>
              <w:jc w:val="center"/>
              <w:rPr>
                <w:rFonts w:ascii="Times New Roman" w:hAnsi="Times New Roman" w:cs="Times New Roman"/>
                <w:sz w:val="24"/>
                <w:szCs w:val="24"/>
              </w:rPr>
            </w:pPr>
            <w:r w:rsidRPr="00B86683">
              <w:rPr>
                <w:rFonts w:ascii="Times New Roman" w:hAnsi="Times New Roman" w:cs="Times New Roman"/>
                <w:sz w:val="24"/>
                <w:szCs w:val="24"/>
              </w:rPr>
              <w:t>0.05358</w:t>
            </w:r>
          </w:p>
        </w:tc>
        <w:tc>
          <w:tcPr>
            <w:tcW w:w="1260" w:type="dxa"/>
          </w:tcPr>
          <w:p w:rsidR="00B86683" w:rsidRPr="00B86683" w:rsidRDefault="00B86683" w:rsidP="00B86683">
            <w:pPr>
              <w:jc w:val="center"/>
              <w:rPr>
                <w:rFonts w:ascii="Times New Roman" w:hAnsi="Times New Roman" w:cs="Times New Roman"/>
                <w:sz w:val="24"/>
                <w:szCs w:val="24"/>
              </w:rPr>
            </w:pPr>
            <w:r w:rsidRPr="00B86683">
              <w:rPr>
                <w:rFonts w:ascii="Times New Roman" w:hAnsi="Times New Roman" w:cs="Times New Roman"/>
                <w:sz w:val="24"/>
                <w:szCs w:val="24"/>
              </w:rPr>
              <w:t>0.08159</w:t>
            </w:r>
          </w:p>
        </w:tc>
      </w:tr>
    </w:tbl>
    <w:p w:rsidR="00EB592D" w:rsidRDefault="00EB592D" w:rsidP="00EB592D">
      <w:pPr>
        <w:spacing w:after="0" w:line="480" w:lineRule="auto"/>
        <w:rPr>
          <w:rFonts w:ascii="Times New Roman" w:hAnsi="Times New Roman" w:cs="Times New Roman"/>
          <w:sz w:val="24"/>
          <w:szCs w:val="24"/>
          <w:lang w:val="en-US"/>
        </w:rPr>
      </w:pPr>
    </w:p>
    <w:p w:rsidR="00B86683" w:rsidRDefault="00B86683" w:rsidP="00E7239B">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Mean return of FB is greater than the mean of GOOGL</w:t>
      </w:r>
      <w:r w:rsidRPr="00B86683">
        <w:rPr>
          <w:rFonts w:ascii="Times New Roman" w:hAnsi="Times New Roman" w:cs="Times New Roman"/>
          <w:sz w:val="24"/>
          <w:szCs w:val="24"/>
          <w:lang w:val="en-US"/>
        </w:rPr>
        <w:t xml:space="preserve">. Low mean on returns will have a negative impact on the prices of a company. Investors may consider </w:t>
      </w:r>
      <w:r>
        <w:rPr>
          <w:rFonts w:ascii="Times New Roman" w:hAnsi="Times New Roman" w:cs="Times New Roman"/>
          <w:sz w:val="24"/>
          <w:szCs w:val="24"/>
          <w:lang w:val="en-US"/>
        </w:rPr>
        <w:t>FB</w:t>
      </w:r>
      <w:r w:rsidRPr="00B86683">
        <w:rPr>
          <w:rFonts w:ascii="Times New Roman" w:hAnsi="Times New Roman" w:cs="Times New Roman"/>
          <w:sz w:val="24"/>
          <w:szCs w:val="24"/>
          <w:lang w:val="en-US"/>
        </w:rPr>
        <w:t xml:space="preserve"> Company over </w:t>
      </w:r>
      <w:r>
        <w:rPr>
          <w:rFonts w:ascii="Times New Roman" w:hAnsi="Times New Roman" w:cs="Times New Roman"/>
          <w:sz w:val="24"/>
          <w:szCs w:val="24"/>
          <w:lang w:val="en-US"/>
        </w:rPr>
        <w:t>GOOGL</w:t>
      </w:r>
      <w:r w:rsidRPr="00B86683">
        <w:rPr>
          <w:rFonts w:ascii="Times New Roman" w:hAnsi="Times New Roman" w:cs="Times New Roman"/>
          <w:sz w:val="24"/>
          <w:szCs w:val="24"/>
          <w:lang w:val="en-US"/>
        </w:rPr>
        <w:t xml:space="preserve"> since it has higher mean on the return on investment. </w:t>
      </w:r>
      <w:r>
        <w:rPr>
          <w:rFonts w:ascii="Times New Roman" w:hAnsi="Times New Roman" w:cs="Times New Roman"/>
          <w:sz w:val="24"/>
          <w:szCs w:val="24"/>
          <w:lang w:val="en-US"/>
        </w:rPr>
        <w:t xml:space="preserve">Standard deviation of FB is greater than the standard deviation of GOOGL. </w:t>
      </w:r>
      <w:r w:rsidRPr="00B86683">
        <w:rPr>
          <w:rFonts w:ascii="Times New Roman" w:hAnsi="Times New Roman" w:cs="Times New Roman"/>
          <w:sz w:val="24"/>
          <w:szCs w:val="24"/>
          <w:lang w:val="en-US"/>
        </w:rPr>
        <w:t xml:space="preserve">Standard deviation shows how tightly the stock price is grouped. Standard deviation of </w:t>
      </w:r>
      <w:r>
        <w:rPr>
          <w:rFonts w:ascii="Times New Roman" w:hAnsi="Times New Roman" w:cs="Times New Roman"/>
          <w:sz w:val="24"/>
          <w:szCs w:val="24"/>
          <w:lang w:val="en-US"/>
        </w:rPr>
        <w:t>FB</w:t>
      </w:r>
      <w:r w:rsidRPr="00B86683">
        <w:rPr>
          <w:rFonts w:ascii="Times New Roman" w:hAnsi="Times New Roman" w:cs="Times New Roman"/>
          <w:sz w:val="24"/>
          <w:szCs w:val="24"/>
          <w:lang w:val="en-US"/>
        </w:rPr>
        <w:t xml:space="preserve"> shows that its stock price is less tightly grouped together than that of </w:t>
      </w:r>
      <w:r>
        <w:rPr>
          <w:rFonts w:ascii="Times New Roman" w:hAnsi="Times New Roman" w:cs="Times New Roman"/>
          <w:sz w:val="24"/>
          <w:szCs w:val="24"/>
          <w:lang w:val="en-US"/>
        </w:rPr>
        <w:t>GOOGL.</w:t>
      </w:r>
      <w:r w:rsidRPr="00B86683">
        <w:rPr>
          <w:rFonts w:ascii="Times New Roman" w:hAnsi="Times New Roman" w:cs="Times New Roman"/>
          <w:sz w:val="24"/>
          <w:szCs w:val="24"/>
          <w:lang w:val="en-US"/>
        </w:rPr>
        <w:t xml:space="preserve"> </w:t>
      </w:r>
      <w:r>
        <w:rPr>
          <w:rFonts w:ascii="Times New Roman" w:hAnsi="Times New Roman" w:cs="Times New Roman"/>
          <w:sz w:val="24"/>
          <w:szCs w:val="24"/>
          <w:lang w:val="en-US"/>
        </w:rPr>
        <w:t>GOOGL</w:t>
      </w:r>
      <w:r w:rsidRPr="00B86683">
        <w:rPr>
          <w:rFonts w:ascii="Times New Roman" w:hAnsi="Times New Roman" w:cs="Times New Roman"/>
          <w:sz w:val="24"/>
          <w:szCs w:val="24"/>
          <w:lang w:val="en-US"/>
        </w:rPr>
        <w:t xml:space="preserve"> has lesser dispersion of its returns and lower risk in investment than </w:t>
      </w:r>
      <w:r w:rsidR="009B7E15">
        <w:rPr>
          <w:rFonts w:ascii="Times New Roman" w:hAnsi="Times New Roman" w:cs="Times New Roman"/>
          <w:sz w:val="24"/>
          <w:szCs w:val="24"/>
          <w:lang w:val="en-US"/>
        </w:rPr>
        <w:t>FB</w:t>
      </w:r>
      <w:r w:rsidRPr="00B86683">
        <w:rPr>
          <w:rFonts w:ascii="Times New Roman" w:hAnsi="Times New Roman" w:cs="Times New Roman"/>
          <w:sz w:val="24"/>
          <w:szCs w:val="24"/>
          <w:lang w:val="en-US"/>
        </w:rPr>
        <w:t xml:space="preserve">. </w:t>
      </w:r>
    </w:p>
    <w:p w:rsidR="009B7E15" w:rsidRPr="00B86683" w:rsidRDefault="009B7E15" w:rsidP="00B86683">
      <w:pPr>
        <w:spacing w:after="0" w:line="480" w:lineRule="auto"/>
        <w:rPr>
          <w:rFonts w:ascii="Times New Roman" w:hAnsi="Times New Roman" w:cs="Times New Roman"/>
          <w:sz w:val="24"/>
          <w:szCs w:val="24"/>
          <w:lang w:val="en-US"/>
        </w:rPr>
      </w:pPr>
    </w:p>
    <w:p w:rsidR="000D3937" w:rsidRPr="00E7239B" w:rsidRDefault="000D3937" w:rsidP="00E7239B">
      <w:pPr>
        <w:spacing w:after="0" w:line="480" w:lineRule="auto"/>
        <w:jc w:val="center"/>
        <w:rPr>
          <w:rFonts w:ascii="Times New Roman" w:hAnsi="Times New Roman" w:cs="Times New Roman"/>
          <w:b/>
          <w:sz w:val="24"/>
          <w:szCs w:val="24"/>
          <w:lang w:val="en-US"/>
        </w:rPr>
      </w:pPr>
      <w:r w:rsidRPr="00E7239B">
        <w:rPr>
          <w:rFonts w:ascii="Times New Roman" w:hAnsi="Times New Roman" w:cs="Times New Roman"/>
          <w:b/>
          <w:sz w:val="24"/>
          <w:szCs w:val="24"/>
          <w:lang w:val="en-US"/>
        </w:rPr>
        <w:t>Financial Ratios analysis</w:t>
      </w:r>
    </w:p>
    <w:p w:rsidR="00D05472" w:rsidRPr="00E7239B" w:rsidRDefault="00D05472" w:rsidP="00147AF0">
      <w:pPr>
        <w:spacing w:after="0" w:line="480" w:lineRule="auto"/>
        <w:rPr>
          <w:rFonts w:ascii="Times New Roman" w:hAnsi="Times New Roman" w:cs="Times New Roman"/>
          <w:b/>
          <w:sz w:val="24"/>
          <w:szCs w:val="24"/>
          <w:lang w:val="en-US"/>
        </w:rPr>
      </w:pPr>
      <w:r w:rsidRPr="00E7239B">
        <w:rPr>
          <w:rFonts w:ascii="Times New Roman" w:hAnsi="Times New Roman" w:cs="Times New Roman"/>
          <w:b/>
          <w:sz w:val="24"/>
          <w:szCs w:val="24"/>
          <w:lang w:val="en-US"/>
        </w:rPr>
        <w:t>Alphabet Inc. (GOOGL)</w:t>
      </w:r>
    </w:p>
    <w:tbl>
      <w:tblPr>
        <w:tblStyle w:val="TableGrid"/>
        <w:tblW w:w="0" w:type="auto"/>
        <w:tblLook w:val="04A0" w:firstRow="1" w:lastRow="0" w:firstColumn="1" w:lastColumn="0" w:noHBand="0" w:noVBand="1"/>
      </w:tblPr>
      <w:tblGrid>
        <w:gridCol w:w="3440"/>
        <w:gridCol w:w="1865"/>
        <w:gridCol w:w="1710"/>
        <w:gridCol w:w="1890"/>
      </w:tblGrid>
      <w:tr w:rsidR="00147AF0" w:rsidRPr="00147AF0" w:rsidTr="00147AF0">
        <w:trPr>
          <w:trHeight w:val="315"/>
        </w:trPr>
        <w:tc>
          <w:tcPr>
            <w:tcW w:w="3440" w:type="dxa"/>
            <w:noWrap/>
            <w:hideMark/>
          </w:tcPr>
          <w:p w:rsidR="00147AF0" w:rsidRPr="00147AF0" w:rsidRDefault="00147AF0" w:rsidP="00147AF0">
            <w:pPr>
              <w:rPr>
                <w:rFonts w:ascii="Times New Roman" w:hAnsi="Times New Roman" w:cs="Times New Roman"/>
                <w:sz w:val="24"/>
                <w:szCs w:val="24"/>
              </w:rPr>
            </w:pPr>
          </w:p>
        </w:tc>
        <w:tc>
          <w:tcPr>
            <w:tcW w:w="1865" w:type="dxa"/>
            <w:noWrap/>
            <w:hideMark/>
          </w:tcPr>
          <w:p w:rsidR="00147AF0" w:rsidRPr="00147AF0" w:rsidRDefault="00147AF0" w:rsidP="00147AF0">
            <w:pPr>
              <w:rPr>
                <w:rFonts w:ascii="Times New Roman" w:hAnsi="Times New Roman" w:cs="Times New Roman"/>
                <w:b/>
                <w:bCs/>
                <w:sz w:val="24"/>
                <w:szCs w:val="24"/>
              </w:rPr>
            </w:pPr>
            <w:r w:rsidRPr="00147AF0">
              <w:rPr>
                <w:rFonts w:ascii="Times New Roman" w:hAnsi="Times New Roman" w:cs="Times New Roman"/>
                <w:b/>
                <w:bCs/>
                <w:sz w:val="24"/>
                <w:szCs w:val="24"/>
              </w:rPr>
              <w:t>12/31/2018</w:t>
            </w:r>
          </w:p>
        </w:tc>
        <w:tc>
          <w:tcPr>
            <w:tcW w:w="1710" w:type="dxa"/>
            <w:noWrap/>
            <w:hideMark/>
          </w:tcPr>
          <w:p w:rsidR="00147AF0" w:rsidRPr="00147AF0" w:rsidRDefault="00147AF0" w:rsidP="00147AF0">
            <w:pPr>
              <w:rPr>
                <w:rFonts w:ascii="Times New Roman" w:hAnsi="Times New Roman" w:cs="Times New Roman"/>
                <w:b/>
                <w:bCs/>
                <w:sz w:val="24"/>
                <w:szCs w:val="24"/>
              </w:rPr>
            </w:pPr>
            <w:r w:rsidRPr="00147AF0">
              <w:rPr>
                <w:rFonts w:ascii="Times New Roman" w:hAnsi="Times New Roman" w:cs="Times New Roman"/>
                <w:b/>
                <w:bCs/>
                <w:sz w:val="24"/>
                <w:szCs w:val="24"/>
              </w:rPr>
              <w:t>12/31/2017</w:t>
            </w:r>
          </w:p>
        </w:tc>
        <w:tc>
          <w:tcPr>
            <w:tcW w:w="1890" w:type="dxa"/>
            <w:noWrap/>
            <w:hideMark/>
          </w:tcPr>
          <w:p w:rsidR="00147AF0" w:rsidRPr="00147AF0" w:rsidRDefault="00147AF0" w:rsidP="00147AF0">
            <w:pPr>
              <w:rPr>
                <w:rFonts w:ascii="Times New Roman" w:hAnsi="Times New Roman" w:cs="Times New Roman"/>
                <w:b/>
                <w:bCs/>
                <w:sz w:val="24"/>
                <w:szCs w:val="24"/>
              </w:rPr>
            </w:pPr>
            <w:r w:rsidRPr="00147AF0">
              <w:rPr>
                <w:rFonts w:ascii="Times New Roman" w:hAnsi="Times New Roman" w:cs="Times New Roman"/>
                <w:b/>
                <w:bCs/>
                <w:sz w:val="24"/>
                <w:szCs w:val="24"/>
              </w:rPr>
              <w:t>12/31/2016</w:t>
            </w:r>
          </w:p>
        </w:tc>
      </w:tr>
      <w:tr w:rsidR="00147AF0" w:rsidRPr="00147AF0" w:rsidTr="00147AF0">
        <w:trPr>
          <w:trHeight w:val="315"/>
        </w:trPr>
        <w:tc>
          <w:tcPr>
            <w:tcW w:w="3440" w:type="dxa"/>
            <w:noWrap/>
            <w:hideMark/>
          </w:tcPr>
          <w:p w:rsidR="00147AF0" w:rsidRPr="00147AF0" w:rsidRDefault="00147AF0" w:rsidP="00147AF0">
            <w:pPr>
              <w:rPr>
                <w:rFonts w:ascii="Times New Roman" w:hAnsi="Times New Roman" w:cs="Times New Roman"/>
                <w:sz w:val="24"/>
                <w:szCs w:val="24"/>
              </w:rPr>
            </w:pPr>
            <w:r w:rsidRPr="00147AF0">
              <w:rPr>
                <w:rFonts w:ascii="Times New Roman" w:hAnsi="Times New Roman" w:cs="Times New Roman"/>
                <w:sz w:val="24"/>
                <w:szCs w:val="24"/>
              </w:rPr>
              <w:t>Price-to-earnings ratio</w:t>
            </w:r>
          </w:p>
        </w:tc>
        <w:tc>
          <w:tcPr>
            <w:tcW w:w="1865"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25.71 </w:t>
            </w:r>
          </w:p>
        </w:tc>
        <w:tc>
          <w:tcPr>
            <w:tcW w:w="171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52.50 </w:t>
            </w:r>
          </w:p>
        </w:tc>
        <w:tc>
          <w:tcPr>
            <w:tcW w:w="189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27.48 </w:t>
            </w:r>
          </w:p>
        </w:tc>
      </w:tr>
      <w:tr w:rsidR="00147AF0" w:rsidRPr="00147AF0" w:rsidTr="00147AF0">
        <w:trPr>
          <w:trHeight w:val="315"/>
        </w:trPr>
        <w:tc>
          <w:tcPr>
            <w:tcW w:w="3440" w:type="dxa"/>
            <w:noWrap/>
            <w:hideMark/>
          </w:tcPr>
          <w:p w:rsidR="00147AF0" w:rsidRPr="00147AF0" w:rsidRDefault="00147AF0" w:rsidP="00147AF0">
            <w:pPr>
              <w:rPr>
                <w:rFonts w:ascii="Times New Roman" w:hAnsi="Times New Roman" w:cs="Times New Roman"/>
                <w:sz w:val="24"/>
                <w:szCs w:val="24"/>
              </w:rPr>
            </w:pPr>
            <w:r w:rsidRPr="00147AF0">
              <w:rPr>
                <w:rFonts w:ascii="Times New Roman" w:hAnsi="Times New Roman" w:cs="Times New Roman"/>
                <w:sz w:val="24"/>
                <w:szCs w:val="24"/>
              </w:rPr>
              <w:t>Debt-to-equity ratios</w:t>
            </w:r>
          </w:p>
        </w:tc>
        <w:tc>
          <w:tcPr>
            <w:tcW w:w="1865"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0.31 </w:t>
            </w:r>
          </w:p>
        </w:tc>
        <w:tc>
          <w:tcPr>
            <w:tcW w:w="171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0.29 </w:t>
            </w:r>
          </w:p>
        </w:tc>
        <w:tc>
          <w:tcPr>
            <w:tcW w:w="189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0.20 </w:t>
            </w:r>
          </w:p>
        </w:tc>
      </w:tr>
      <w:tr w:rsidR="00147AF0" w:rsidRPr="00147AF0" w:rsidTr="00147AF0">
        <w:trPr>
          <w:trHeight w:val="315"/>
        </w:trPr>
        <w:tc>
          <w:tcPr>
            <w:tcW w:w="3440" w:type="dxa"/>
            <w:noWrap/>
            <w:hideMark/>
          </w:tcPr>
          <w:p w:rsidR="00147AF0" w:rsidRPr="00147AF0" w:rsidRDefault="00147AF0" w:rsidP="00147AF0">
            <w:pPr>
              <w:rPr>
                <w:rFonts w:ascii="Times New Roman" w:hAnsi="Times New Roman" w:cs="Times New Roman"/>
                <w:sz w:val="24"/>
                <w:szCs w:val="24"/>
              </w:rPr>
            </w:pPr>
            <w:r w:rsidRPr="00147AF0">
              <w:rPr>
                <w:rFonts w:ascii="Times New Roman" w:hAnsi="Times New Roman" w:cs="Times New Roman"/>
                <w:sz w:val="24"/>
                <w:szCs w:val="24"/>
              </w:rPr>
              <w:t>Return-on-equity ratios</w:t>
            </w:r>
          </w:p>
        </w:tc>
        <w:tc>
          <w:tcPr>
            <w:tcW w:w="1865"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18.62%</w:t>
            </w:r>
          </w:p>
        </w:tc>
        <w:tc>
          <w:tcPr>
            <w:tcW w:w="171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8.69%</w:t>
            </w:r>
          </w:p>
        </w:tc>
        <w:tc>
          <w:tcPr>
            <w:tcW w:w="189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15.02%</w:t>
            </w:r>
          </w:p>
        </w:tc>
      </w:tr>
      <w:tr w:rsidR="00147AF0" w:rsidRPr="00147AF0" w:rsidTr="00147AF0">
        <w:trPr>
          <w:trHeight w:val="315"/>
        </w:trPr>
        <w:tc>
          <w:tcPr>
            <w:tcW w:w="3440" w:type="dxa"/>
            <w:noWrap/>
            <w:hideMark/>
          </w:tcPr>
          <w:p w:rsidR="00147AF0" w:rsidRPr="00147AF0" w:rsidRDefault="00147AF0" w:rsidP="00147AF0">
            <w:pPr>
              <w:rPr>
                <w:rFonts w:ascii="Times New Roman" w:hAnsi="Times New Roman" w:cs="Times New Roman"/>
                <w:sz w:val="24"/>
                <w:szCs w:val="24"/>
              </w:rPr>
            </w:pPr>
            <w:r w:rsidRPr="00147AF0">
              <w:rPr>
                <w:rFonts w:ascii="Times New Roman" w:hAnsi="Times New Roman" w:cs="Times New Roman"/>
                <w:sz w:val="24"/>
                <w:szCs w:val="24"/>
              </w:rPr>
              <w:t>Earnings per share</w:t>
            </w:r>
          </w:p>
        </w:tc>
        <w:tc>
          <w:tcPr>
            <w:tcW w:w="1865"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43.70 </w:t>
            </w:r>
          </w:p>
        </w:tc>
        <w:tc>
          <w:tcPr>
            <w:tcW w:w="171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18.00 </w:t>
            </w:r>
          </w:p>
        </w:tc>
        <w:tc>
          <w:tcPr>
            <w:tcW w:w="189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27.85 </w:t>
            </w:r>
          </w:p>
        </w:tc>
      </w:tr>
      <w:tr w:rsidR="00147AF0" w:rsidRPr="00147AF0" w:rsidTr="00147AF0">
        <w:trPr>
          <w:trHeight w:val="315"/>
        </w:trPr>
        <w:tc>
          <w:tcPr>
            <w:tcW w:w="3440" w:type="dxa"/>
            <w:noWrap/>
            <w:hideMark/>
          </w:tcPr>
          <w:p w:rsidR="00147AF0" w:rsidRPr="00147AF0" w:rsidRDefault="00147AF0" w:rsidP="00147AF0">
            <w:pPr>
              <w:rPr>
                <w:rFonts w:ascii="Times New Roman" w:hAnsi="Times New Roman" w:cs="Times New Roman"/>
                <w:sz w:val="24"/>
                <w:szCs w:val="24"/>
              </w:rPr>
            </w:pPr>
            <w:r w:rsidRPr="00147AF0">
              <w:rPr>
                <w:rFonts w:ascii="Times New Roman" w:hAnsi="Times New Roman" w:cs="Times New Roman"/>
                <w:sz w:val="24"/>
                <w:szCs w:val="24"/>
              </w:rPr>
              <w:t>Profit margins</w:t>
            </w:r>
          </w:p>
        </w:tc>
        <w:tc>
          <w:tcPr>
            <w:tcW w:w="1865"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22.46%</w:t>
            </w:r>
          </w:p>
        </w:tc>
        <w:tc>
          <w:tcPr>
            <w:tcW w:w="171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11.42%</w:t>
            </w:r>
          </w:p>
        </w:tc>
        <w:tc>
          <w:tcPr>
            <w:tcW w:w="189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21.58%</w:t>
            </w:r>
          </w:p>
        </w:tc>
      </w:tr>
      <w:tr w:rsidR="00147AF0" w:rsidRPr="00147AF0" w:rsidTr="00147AF0">
        <w:trPr>
          <w:trHeight w:val="315"/>
        </w:trPr>
        <w:tc>
          <w:tcPr>
            <w:tcW w:w="3440" w:type="dxa"/>
            <w:noWrap/>
            <w:hideMark/>
          </w:tcPr>
          <w:p w:rsidR="00147AF0" w:rsidRPr="00147AF0" w:rsidRDefault="00147AF0" w:rsidP="00147AF0">
            <w:pPr>
              <w:rPr>
                <w:rFonts w:ascii="Times New Roman" w:hAnsi="Times New Roman" w:cs="Times New Roman"/>
                <w:sz w:val="24"/>
                <w:szCs w:val="24"/>
              </w:rPr>
            </w:pPr>
            <w:r w:rsidRPr="00147AF0">
              <w:rPr>
                <w:rFonts w:ascii="Times New Roman" w:hAnsi="Times New Roman" w:cs="Times New Roman"/>
                <w:sz w:val="24"/>
                <w:szCs w:val="24"/>
              </w:rPr>
              <w:t>Free cash flows</w:t>
            </w:r>
          </w:p>
        </w:tc>
        <w:tc>
          <w:tcPr>
            <w:tcW w:w="1865"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22,832,000 </w:t>
            </w:r>
          </w:p>
        </w:tc>
        <w:tc>
          <w:tcPr>
            <w:tcW w:w="171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23,907,000 </w:t>
            </w:r>
          </w:p>
        </w:tc>
        <w:tc>
          <w:tcPr>
            <w:tcW w:w="1890" w:type="dxa"/>
            <w:noWrap/>
            <w:hideMark/>
          </w:tcPr>
          <w:p w:rsidR="00147AF0" w:rsidRPr="00147AF0" w:rsidRDefault="00147AF0" w:rsidP="00147AF0">
            <w:pPr>
              <w:jc w:val="right"/>
              <w:rPr>
                <w:rFonts w:ascii="Times New Roman" w:hAnsi="Times New Roman" w:cs="Times New Roman"/>
                <w:sz w:val="24"/>
                <w:szCs w:val="24"/>
              </w:rPr>
            </w:pPr>
            <w:r w:rsidRPr="00147AF0">
              <w:rPr>
                <w:rFonts w:ascii="Times New Roman" w:hAnsi="Times New Roman" w:cs="Times New Roman"/>
                <w:sz w:val="24"/>
                <w:szCs w:val="24"/>
              </w:rPr>
              <w:t xml:space="preserve">       25,824,000 </w:t>
            </w:r>
          </w:p>
        </w:tc>
      </w:tr>
    </w:tbl>
    <w:p w:rsidR="00FE38CB" w:rsidRDefault="00FE38CB" w:rsidP="00147AF0">
      <w:pPr>
        <w:spacing w:after="0" w:line="480" w:lineRule="auto"/>
        <w:rPr>
          <w:rFonts w:ascii="Times New Roman" w:hAnsi="Times New Roman" w:cs="Times New Roman"/>
          <w:sz w:val="24"/>
          <w:szCs w:val="24"/>
          <w:lang w:val="en-US"/>
        </w:rPr>
      </w:pPr>
    </w:p>
    <w:p w:rsidR="00D05472" w:rsidRPr="00E7239B" w:rsidRDefault="00D05472" w:rsidP="00147AF0">
      <w:pPr>
        <w:spacing w:after="0" w:line="480" w:lineRule="auto"/>
        <w:rPr>
          <w:rFonts w:ascii="Times New Roman" w:hAnsi="Times New Roman" w:cs="Times New Roman"/>
          <w:b/>
          <w:sz w:val="24"/>
          <w:szCs w:val="24"/>
          <w:lang w:val="en-US"/>
        </w:rPr>
      </w:pPr>
      <w:r w:rsidRPr="00E7239B">
        <w:rPr>
          <w:rFonts w:ascii="Times New Roman" w:hAnsi="Times New Roman" w:cs="Times New Roman"/>
          <w:b/>
          <w:sz w:val="24"/>
          <w:szCs w:val="24"/>
          <w:lang w:val="en-US"/>
        </w:rPr>
        <w:t>Facebook Inc.</w:t>
      </w:r>
    </w:p>
    <w:tbl>
      <w:tblPr>
        <w:tblStyle w:val="TableGrid"/>
        <w:tblW w:w="0" w:type="auto"/>
        <w:tblLook w:val="04A0" w:firstRow="1" w:lastRow="0" w:firstColumn="1" w:lastColumn="0" w:noHBand="0" w:noVBand="1"/>
      </w:tblPr>
      <w:tblGrid>
        <w:gridCol w:w="3440"/>
        <w:gridCol w:w="1865"/>
        <w:gridCol w:w="1710"/>
        <w:gridCol w:w="1890"/>
      </w:tblGrid>
      <w:tr w:rsidR="00D05472" w:rsidRPr="00D05472" w:rsidTr="00E4089C">
        <w:trPr>
          <w:trHeight w:val="315"/>
        </w:trPr>
        <w:tc>
          <w:tcPr>
            <w:tcW w:w="3440" w:type="dxa"/>
            <w:noWrap/>
            <w:hideMark/>
          </w:tcPr>
          <w:p w:rsidR="00D05472" w:rsidRPr="00D05472" w:rsidRDefault="00D05472" w:rsidP="00E4089C">
            <w:pPr>
              <w:rPr>
                <w:rFonts w:ascii="Times New Roman" w:hAnsi="Times New Roman" w:cs="Times New Roman"/>
                <w:sz w:val="24"/>
                <w:szCs w:val="24"/>
              </w:rPr>
            </w:pPr>
          </w:p>
        </w:tc>
        <w:tc>
          <w:tcPr>
            <w:tcW w:w="1865" w:type="dxa"/>
            <w:noWrap/>
            <w:hideMark/>
          </w:tcPr>
          <w:p w:rsidR="00D05472" w:rsidRPr="00D05472" w:rsidRDefault="00D05472" w:rsidP="00E4089C">
            <w:pPr>
              <w:rPr>
                <w:rFonts w:ascii="Times New Roman" w:hAnsi="Times New Roman" w:cs="Times New Roman"/>
                <w:b/>
                <w:bCs/>
                <w:sz w:val="24"/>
                <w:szCs w:val="24"/>
              </w:rPr>
            </w:pPr>
            <w:r w:rsidRPr="00D05472">
              <w:rPr>
                <w:rFonts w:ascii="Times New Roman" w:hAnsi="Times New Roman" w:cs="Times New Roman"/>
                <w:b/>
                <w:bCs/>
                <w:sz w:val="24"/>
                <w:szCs w:val="24"/>
              </w:rPr>
              <w:t>12/31/2018</w:t>
            </w:r>
          </w:p>
        </w:tc>
        <w:tc>
          <w:tcPr>
            <w:tcW w:w="1710" w:type="dxa"/>
            <w:noWrap/>
            <w:hideMark/>
          </w:tcPr>
          <w:p w:rsidR="00D05472" w:rsidRPr="00D05472" w:rsidRDefault="00D05472" w:rsidP="00E4089C">
            <w:pPr>
              <w:rPr>
                <w:rFonts w:ascii="Times New Roman" w:hAnsi="Times New Roman" w:cs="Times New Roman"/>
                <w:b/>
                <w:bCs/>
                <w:sz w:val="24"/>
                <w:szCs w:val="24"/>
              </w:rPr>
            </w:pPr>
            <w:r w:rsidRPr="00D05472">
              <w:rPr>
                <w:rFonts w:ascii="Times New Roman" w:hAnsi="Times New Roman" w:cs="Times New Roman"/>
                <w:b/>
                <w:bCs/>
                <w:sz w:val="24"/>
                <w:szCs w:val="24"/>
              </w:rPr>
              <w:t>12/31/2017</w:t>
            </w:r>
          </w:p>
        </w:tc>
        <w:tc>
          <w:tcPr>
            <w:tcW w:w="1890" w:type="dxa"/>
            <w:noWrap/>
            <w:hideMark/>
          </w:tcPr>
          <w:p w:rsidR="00D05472" w:rsidRPr="00D05472" w:rsidRDefault="00D05472" w:rsidP="00E4089C">
            <w:pPr>
              <w:rPr>
                <w:rFonts w:ascii="Times New Roman" w:hAnsi="Times New Roman" w:cs="Times New Roman"/>
                <w:b/>
                <w:bCs/>
                <w:sz w:val="24"/>
                <w:szCs w:val="24"/>
              </w:rPr>
            </w:pPr>
            <w:r w:rsidRPr="00D05472">
              <w:rPr>
                <w:rFonts w:ascii="Times New Roman" w:hAnsi="Times New Roman" w:cs="Times New Roman"/>
                <w:b/>
                <w:bCs/>
                <w:sz w:val="24"/>
                <w:szCs w:val="24"/>
              </w:rPr>
              <w:t>12/31/2016</w:t>
            </w:r>
          </w:p>
        </w:tc>
      </w:tr>
      <w:tr w:rsidR="00D05472" w:rsidRPr="00D05472" w:rsidTr="00E4089C">
        <w:trPr>
          <w:trHeight w:val="315"/>
        </w:trPr>
        <w:tc>
          <w:tcPr>
            <w:tcW w:w="3440" w:type="dxa"/>
            <w:noWrap/>
            <w:hideMark/>
          </w:tcPr>
          <w:p w:rsidR="00D05472" w:rsidRPr="00D05472" w:rsidRDefault="00D05472" w:rsidP="00E4089C">
            <w:pPr>
              <w:rPr>
                <w:rFonts w:ascii="Times New Roman" w:hAnsi="Times New Roman" w:cs="Times New Roman"/>
                <w:sz w:val="24"/>
                <w:szCs w:val="24"/>
              </w:rPr>
            </w:pPr>
            <w:r w:rsidRPr="00D05472">
              <w:rPr>
                <w:rFonts w:ascii="Times New Roman" w:hAnsi="Times New Roman" w:cs="Times New Roman"/>
                <w:sz w:val="24"/>
                <w:szCs w:val="24"/>
              </w:rPr>
              <w:t>Price-to-earnings ratio</w:t>
            </w:r>
          </w:p>
        </w:tc>
        <w:tc>
          <w:tcPr>
            <w:tcW w:w="1865"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22.23 </w:t>
            </w:r>
          </w:p>
        </w:tc>
        <w:tc>
          <w:tcPr>
            <w:tcW w:w="171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29.47 </w:t>
            </w:r>
          </w:p>
        </w:tc>
        <w:tc>
          <w:tcPr>
            <w:tcW w:w="189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34.07 </w:t>
            </w:r>
          </w:p>
        </w:tc>
      </w:tr>
      <w:tr w:rsidR="00D05472" w:rsidRPr="00D05472" w:rsidTr="00E4089C">
        <w:trPr>
          <w:trHeight w:val="315"/>
        </w:trPr>
        <w:tc>
          <w:tcPr>
            <w:tcW w:w="3440" w:type="dxa"/>
            <w:noWrap/>
            <w:hideMark/>
          </w:tcPr>
          <w:p w:rsidR="00D05472" w:rsidRPr="00D05472" w:rsidRDefault="00D05472" w:rsidP="00E4089C">
            <w:pPr>
              <w:rPr>
                <w:rFonts w:ascii="Times New Roman" w:hAnsi="Times New Roman" w:cs="Times New Roman"/>
                <w:sz w:val="24"/>
                <w:szCs w:val="24"/>
              </w:rPr>
            </w:pPr>
            <w:r w:rsidRPr="00D05472">
              <w:rPr>
                <w:rFonts w:ascii="Times New Roman" w:hAnsi="Times New Roman" w:cs="Times New Roman"/>
                <w:sz w:val="24"/>
                <w:szCs w:val="24"/>
              </w:rPr>
              <w:t>Debt-to-equity ratios</w:t>
            </w:r>
          </w:p>
        </w:tc>
        <w:tc>
          <w:tcPr>
            <w:tcW w:w="1865"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0.16 </w:t>
            </w:r>
          </w:p>
        </w:tc>
        <w:tc>
          <w:tcPr>
            <w:tcW w:w="171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0.14 </w:t>
            </w:r>
          </w:p>
        </w:tc>
        <w:tc>
          <w:tcPr>
            <w:tcW w:w="189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0.10 </w:t>
            </w:r>
          </w:p>
        </w:tc>
      </w:tr>
      <w:tr w:rsidR="00D05472" w:rsidRPr="00D05472" w:rsidTr="00E4089C">
        <w:trPr>
          <w:trHeight w:val="315"/>
        </w:trPr>
        <w:tc>
          <w:tcPr>
            <w:tcW w:w="3440" w:type="dxa"/>
            <w:noWrap/>
            <w:hideMark/>
          </w:tcPr>
          <w:p w:rsidR="00D05472" w:rsidRPr="00D05472" w:rsidRDefault="00D05472" w:rsidP="00E4089C">
            <w:pPr>
              <w:rPr>
                <w:rFonts w:ascii="Times New Roman" w:hAnsi="Times New Roman" w:cs="Times New Roman"/>
                <w:sz w:val="24"/>
                <w:szCs w:val="24"/>
              </w:rPr>
            </w:pPr>
            <w:r w:rsidRPr="00D05472">
              <w:rPr>
                <w:rFonts w:ascii="Times New Roman" w:hAnsi="Times New Roman" w:cs="Times New Roman"/>
                <w:sz w:val="24"/>
                <w:szCs w:val="24"/>
              </w:rPr>
              <w:t>Return-on-equity ratios</w:t>
            </w:r>
          </w:p>
        </w:tc>
        <w:tc>
          <w:tcPr>
            <w:tcW w:w="1865"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27.91%</w:t>
            </w:r>
          </w:p>
        </w:tc>
        <w:tc>
          <w:tcPr>
            <w:tcW w:w="171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23.86%</w:t>
            </w:r>
          </w:p>
        </w:tc>
        <w:tc>
          <w:tcPr>
            <w:tcW w:w="189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19.76%</w:t>
            </w:r>
          </w:p>
        </w:tc>
      </w:tr>
      <w:tr w:rsidR="00D05472" w:rsidRPr="00D05472" w:rsidTr="00E4089C">
        <w:trPr>
          <w:trHeight w:val="315"/>
        </w:trPr>
        <w:tc>
          <w:tcPr>
            <w:tcW w:w="3440" w:type="dxa"/>
            <w:noWrap/>
            <w:hideMark/>
          </w:tcPr>
          <w:p w:rsidR="00D05472" w:rsidRPr="00D05472" w:rsidRDefault="00D05472" w:rsidP="00E4089C">
            <w:pPr>
              <w:rPr>
                <w:rFonts w:ascii="Times New Roman" w:hAnsi="Times New Roman" w:cs="Times New Roman"/>
                <w:sz w:val="24"/>
                <w:szCs w:val="24"/>
              </w:rPr>
            </w:pPr>
            <w:r w:rsidRPr="00D05472">
              <w:rPr>
                <w:rFonts w:ascii="Times New Roman" w:hAnsi="Times New Roman" w:cs="Times New Roman"/>
                <w:sz w:val="24"/>
                <w:szCs w:val="24"/>
              </w:rPr>
              <w:t>Earnings per share</w:t>
            </w:r>
          </w:p>
        </w:tc>
        <w:tc>
          <w:tcPr>
            <w:tcW w:w="1865"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7.57 </w:t>
            </w:r>
          </w:p>
        </w:tc>
        <w:tc>
          <w:tcPr>
            <w:tcW w:w="171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5.39 </w:t>
            </w:r>
          </w:p>
        </w:tc>
        <w:tc>
          <w:tcPr>
            <w:tcW w:w="189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3.49 </w:t>
            </w:r>
          </w:p>
        </w:tc>
      </w:tr>
      <w:tr w:rsidR="00D05472" w:rsidRPr="00D05472" w:rsidTr="00E4089C">
        <w:trPr>
          <w:trHeight w:val="315"/>
        </w:trPr>
        <w:tc>
          <w:tcPr>
            <w:tcW w:w="3440" w:type="dxa"/>
            <w:noWrap/>
            <w:hideMark/>
          </w:tcPr>
          <w:p w:rsidR="00D05472" w:rsidRPr="00D05472" w:rsidRDefault="00D05472" w:rsidP="00E4089C">
            <w:pPr>
              <w:rPr>
                <w:rFonts w:ascii="Times New Roman" w:hAnsi="Times New Roman" w:cs="Times New Roman"/>
                <w:sz w:val="24"/>
                <w:szCs w:val="24"/>
              </w:rPr>
            </w:pPr>
            <w:r w:rsidRPr="00D05472">
              <w:rPr>
                <w:rFonts w:ascii="Times New Roman" w:hAnsi="Times New Roman" w:cs="Times New Roman"/>
                <w:sz w:val="24"/>
                <w:szCs w:val="24"/>
              </w:rPr>
              <w:t>Profit margins</w:t>
            </w:r>
          </w:p>
        </w:tc>
        <w:tc>
          <w:tcPr>
            <w:tcW w:w="1865"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39.60%</w:t>
            </w:r>
          </w:p>
        </w:tc>
        <w:tc>
          <w:tcPr>
            <w:tcW w:w="171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39.20%</w:t>
            </w:r>
          </w:p>
        </w:tc>
        <w:tc>
          <w:tcPr>
            <w:tcW w:w="189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36.97%</w:t>
            </w:r>
          </w:p>
        </w:tc>
      </w:tr>
      <w:tr w:rsidR="00D05472" w:rsidRPr="00D05472" w:rsidTr="00E4089C">
        <w:trPr>
          <w:trHeight w:val="315"/>
        </w:trPr>
        <w:tc>
          <w:tcPr>
            <w:tcW w:w="3440" w:type="dxa"/>
            <w:noWrap/>
            <w:hideMark/>
          </w:tcPr>
          <w:p w:rsidR="00D05472" w:rsidRPr="00D05472" w:rsidRDefault="00D05472" w:rsidP="00E4089C">
            <w:pPr>
              <w:rPr>
                <w:rFonts w:ascii="Times New Roman" w:hAnsi="Times New Roman" w:cs="Times New Roman"/>
                <w:sz w:val="24"/>
                <w:szCs w:val="24"/>
              </w:rPr>
            </w:pPr>
            <w:r w:rsidRPr="00D05472">
              <w:rPr>
                <w:rFonts w:ascii="Times New Roman" w:hAnsi="Times New Roman" w:cs="Times New Roman"/>
                <w:sz w:val="24"/>
                <w:szCs w:val="24"/>
              </w:rPr>
              <w:t>Free cash flows</w:t>
            </w:r>
          </w:p>
        </w:tc>
        <w:tc>
          <w:tcPr>
            <w:tcW w:w="1865"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15,359,000 </w:t>
            </w:r>
          </w:p>
        </w:tc>
        <w:tc>
          <w:tcPr>
            <w:tcW w:w="171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17,483,000 </w:t>
            </w:r>
          </w:p>
        </w:tc>
        <w:tc>
          <w:tcPr>
            <w:tcW w:w="1890" w:type="dxa"/>
            <w:noWrap/>
            <w:hideMark/>
          </w:tcPr>
          <w:p w:rsidR="00D05472" w:rsidRPr="00D05472" w:rsidRDefault="00D05472" w:rsidP="00E4089C">
            <w:pPr>
              <w:jc w:val="right"/>
              <w:rPr>
                <w:rFonts w:ascii="Times New Roman" w:hAnsi="Times New Roman" w:cs="Times New Roman"/>
                <w:sz w:val="24"/>
                <w:szCs w:val="24"/>
              </w:rPr>
            </w:pPr>
            <w:r w:rsidRPr="00D05472">
              <w:rPr>
                <w:rFonts w:ascii="Times New Roman" w:hAnsi="Times New Roman" w:cs="Times New Roman"/>
                <w:sz w:val="24"/>
                <w:szCs w:val="24"/>
              </w:rPr>
              <w:t xml:space="preserve">       11,617,000 </w:t>
            </w:r>
          </w:p>
        </w:tc>
      </w:tr>
    </w:tbl>
    <w:p w:rsidR="00D05472" w:rsidRDefault="00D05472" w:rsidP="00147AF0">
      <w:pPr>
        <w:spacing w:after="0" w:line="480" w:lineRule="auto"/>
        <w:rPr>
          <w:rFonts w:ascii="Times New Roman" w:hAnsi="Times New Roman" w:cs="Times New Roman"/>
          <w:sz w:val="24"/>
          <w:szCs w:val="24"/>
          <w:lang w:val="en-US"/>
        </w:rPr>
      </w:pPr>
    </w:p>
    <w:p w:rsidR="00D05472" w:rsidRPr="00E7239B" w:rsidRDefault="00D05472" w:rsidP="00147AF0">
      <w:pPr>
        <w:spacing w:after="0" w:line="480" w:lineRule="auto"/>
        <w:rPr>
          <w:rFonts w:ascii="Times New Roman" w:hAnsi="Times New Roman" w:cs="Times New Roman"/>
          <w:b/>
          <w:sz w:val="24"/>
          <w:szCs w:val="24"/>
          <w:lang w:val="en-US"/>
        </w:rPr>
      </w:pPr>
      <w:r w:rsidRPr="00E7239B">
        <w:rPr>
          <w:rFonts w:ascii="Times New Roman" w:hAnsi="Times New Roman" w:cs="Times New Roman"/>
          <w:b/>
          <w:sz w:val="24"/>
          <w:szCs w:val="24"/>
          <w:lang w:val="en-US"/>
        </w:rPr>
        <w:t>Industry Averages</w:t>
      </w:r>
    </w:p>
    <w:tbl>
      <w:tblPr>
        <w:tblStyle w:val="TableGrid"/>
        <w:tblW w:w="0" w:type="auto"/>
        <w:tblLook w:val="04A0" w:firstRow="1" w:lastRow="0" w:firstColumn="1" w:lastColumn="0" w:noHBand="0" w:noVBand="1"/>
      </w:tblPr>
      <w:tblGrid>
        <w:gridCol w:w="3775"/>
        <w:gridCol w:w="1440"/>
      </w:tblGrid>
      <w:tr w:rsidR="00D05472" w:rsidRPr="00D05472" w:rsidTr="00D05472">
        <w:trPr>
          <w:trHeight w:val="315"/>
        </w:trPr>
        <w:tc>
          <w:tcPr>
            <w:tcW w:w="3775" w:type="dxa"/>
            <w:noWrap/>
            <w:hideMark/>
          </w:tcPr>
          <w:p w:rsidR="00D05472" w:rsidRPr="00D05472" w:rsidRDefault="00D05472" w:rsidP="00D05472">
            <w:pPr>
              <w:rPr>
                <w:rFonts w:ascii="Times New Roman" w:hAnsi="Times New Roman" w:cs="Times New Roman"/>
                <w:sz w:val="24"/>
                <w:szCs w:val="24"/>
              </w:rPr>
            </w:pPr>
          </w:p>
        </w:tc>
        <w:tc>
          <w:tcPr>
            <w:tcW w:w="1440" w:type="dxa"/>
            <w:noWrap/>
            <w:hideMark/>
          </w:tcPr>
          <w:p w:rsidR="00D05472" w:rsidRPr="00D05472" w:rsidRDefault="00D05472" w:rsidP="00D05472">
            <w:pPr>
              <w:rPr>
                <w:rFonts w:ascii="Times New Roman" w:hAnsi="Times New Roman" w:cs="Times New Roman"/>
                <w:b/>
                <w:bCs/>
                <w:sz w:val="24"/>
                <w:szCs w:val="24"/>
              </w:rPr>
            </w:pPr>
            <w:r w:rsidRPr="00D05472">
              <w:rPr>
                <w:rFonts w:ascii="Times New Roman" w:hAnsi="Times New Roman" w:cs="Times New Roman"/>
                <w:b/>
                <w:bCs/>
                <w:sz w:val="24"/>
                <w:szCs w:val="24"/>
              </w:rPr>
              <w:t>industry</w:t>
            </w:r>
          </w:p>
        </w:tc>
      </w:tr>
      <w:tr w:rsidR="00D05472" w:rsidRPr="00D05472" w:rsidTr="00D05472">
        <w:trPr>
          <w:trHeight w:val="315"/>
        </w:trPr>
        <w:tc>
          <w:tcPr>
            <w:tcW w:w="3775" w:type="dxa"/>
            <w:noWrap/>
            <w:hideMark/>
          </w:tcPr>
          <w:p w:rsidR="00D05472" w:rsidRPr="00D05472" w:rsidRDefault="00D05472" w:rsidP="00D05472">
            <w:pPr>
              <w:rPr>
                <w:rFonts w:ascii="Times New Roman" w:hAnsi="Times New Roman" w:cs="Times New Roman"/>
                <w:sz w:val="24"/>
                <w:szCs w:val="24"/>
              </w:rPr>
            </w:pPr>
            <w:r w:rsidRPr="00D05472">
              <w:rPr>
                <w:rFonts w:ascii="Times New Roman" w:hAnsi="Times New Roman" w:cs="Times New Roman"/>
                <w:sz w:val="24"/>
                <w:szCs w:val="24"/>
              </w:rPr>
              <w:t>P/E Ratio (TTM)</w:t>
            </w:r>
          </w:p>
        </w:tc>
        <w:tc>
          <w:tcPr>
            <w:tcW w:w="1440" w:type="dxa"/>
            <w:noWrap/>
            <w:hideMark/>
          </w:tcPr>
          <w:p w:rsidR="00D05472" w:rsidRPr="00D05472" w:rsidRDefault="00D05472" w:rsidP="00D05472">
            <w:pPr>
              <w:rPr>
                <w:rFonts w:ascii="Times New Roman" w:hAnsi="Times New Roman" w:cs="Times New Roman"/>
                <w:sz w:val="24"/>
                <w:szCs w:val="24"/>
              </w:rPr>
            </w:pPr>
            <w:r w:rsidRPr="00D05472">
              <w:rPr>
                <w:rFonts w:ascii="Times New Roman" w:hAnsi="Times New Roman" w:cs="Times New Roman"/>
                <w:sz w:val="24"/>
                <w:szCs w:val="24"/>
              </w:rPr>
              <w:t>38.49</w:t>
            </w:r>
          </w:p>
        </w:tc>
      </w:tr>
      <w:tr w:rsidR="00444819" w:rsidRPr="00D05472" w:rsidTr="00D05472">
        <w:trPr>
          <w:trHeight w:val="315"/>
        </w:trPr>
        <w:tc>
          <w:tcPr>
            <w:tcW w:w="3775" w:type="dxa"/>
            <w:noWrap/>
            <w:hideMark/>
          </w:tcPr>
          <w:p w:rsidR="00444819" w:rsidRPr="00D05472" w:rsidRDefault="00444819" w:rsidP="00D05472">
            <w:pPr>
              <w:rPr>
                <w:rFonts w:ascii="Times New Roman" w:hAnsi="Times New Roman" w:cs="Times New Roman"/>
                <w:sz w:val="24"/>
                <w:szCs w:val="24"/>
              </w:rPr>
            </w:pPr>
            <w:r w:rsidRPr="00D05472">
              <w:rPr>
                <w:rFonts w:ascii="Times New Roman" w:hAnsi="Times New Roman" w:cs="Times New Roman"/>
                <w:sz w:val="24"/>
                <w:szCs w:val="24"/>
              </w:rPr>
              <w:t>Total Debt to Equity (MRQ)</w:t>
            </w:r>
          </w:p>
        </w:tc>
        <w:tc>
          <w:tcPr>
            <w:tcW w:w="1440" w:type="dxa"/>
            <w:noWrap/>
            <w:hideMark/>
          </w:tcPr>
          <w:p w:rsidR="00444819" w:rsidRPr="00D05472" w:rsidRDefault="00444819" w:rsidP="00D05472">
            <w:pPr>
              <w:rPr>
                <w:rFonts w:ascii="Times New Roman" w:hAnsi="Times New Roman" w:cs="Times New Roman"/>
                <w:sz w:val="24"/>
                <w:szCs w:val="24"/>
              </w:rPr>
            </w:pPr>
            <w:r w:rsidRPr="00D05472">
              <w:rPr>
                <w:rFonts w:ascii="Times New Roman" w:hAnsi="Times New Roman" w:cs="Times New Roman"/>
                <w:sz w:val="24"/>
                <w:szCs w:val="24"/>
              </w:rPr>
              <w:t>41.17</w:t>
            </w:r>
          </w:p>
        </w:tc>
      </w:tr>
      <w:tr w:rsidR="00444819" w:rsidRPr="00D05472" w:rsidTr="00D05472">
        <w:trPr>
          <w:trHeight w:val="315"/>
        </w:trPr>
        <w:tc>
          <w:tcPr>
            <w:tcW w:w="3775" w:type="dxa"/>
            <w:noWrap/>
            <w:hideMark/>
          </w:tcPr>
          <w:p w:rsidR="00444819" w:rsidRPr="00D05472" w:rsidRDefault="00444819" w:rsidP="00D05472">
            <w:pPr>
              <w:rPr>
                <w:rFonts w:ascii="Times New Roman" w:hAnsi="Times New Roman" w:cs="Times New Roman"/>
                <w:sz w:val="24"/>
                <w:szCs w:val="24"/>
              </w:rPr>
            </w:pPr>
            <w:r w:rsidRPr="00D05472">
              <w:rPr>
                <w:rFonts w:ascii="Times New Roman" w:hAnsi="Times New Roman" w:cs="Times New Roman"/>
                <w:sz w:val="24"/>
                <w:szCs w:val="24"/>
              </w:rPr>
              <w:t>Return on Equity - 5 Yr. Avg.(%)</w:t>
            </w:r>
          </w:p>
        </w:tc>
        <w:tc>
          <w:tcPr>
            <w:tcW w:w="1440" w:type="dxa"/>
            <w:noWrap/>
            <w:hideMark/>
          </w:tcPr>
          <w:p w:rsidR="00444819" w:rsidRPr="00D05472" w:rsidRDefault="00444819" w:rsidP="00D05472">
            <w:pPr>
              <w:rPr>
                <w:rFonts w:ascii="Times New Roman" w:hAnsi="Times New Roman" w:cs="Times New Roman"/>
                <w:sz w:val="24"/>
                <w:szCs w:val="24"/>
              </w:rPr>
            </w:pPr>
            <w:r w:rsidRPr="00D05472">
              <w:rPr>
                <w:rFonts w:ascii="Times New Roman" w:hAnsi="Times New Roman" w:cs="Times New Roman"/>
                <w:sz w:val="24"/>
                <w:szCs w:val="24"/>
              </w:rPr>
              <w:t>18.4</w:t>
            </w:r>
          </w:p>
        </w:tc>
      </w:tr>
      <w:tr w:rsidR="00444819" w:rsidRPr="00D05472" w:rsidTr="00D05472">
        <w:trPr>
          <w:trHeight w:val="315"/>
        </w:trPr>
        <w:tc>
          <w:tcPr>
            <w:tcW w:w="3775" w:type="dxa"/>
            <w:noWrap/>
            <w:hideMark/>
          </w:tcPr>
          <w:p w:rsidR="00444819" w:rsidRPr="00D05472" w:rsidRDefault="00444819" w:rsidP="00D05472">
            <w:pPr>
              <w:rPr>
                <w:rFonts w:ascii="Times New Roman" w:hAnsi="Times New Roman" w:cs="Times New Roman"/>
                <w:sz w:val="24"/>
                <w:szCs w:val="24"/>
              </w:rPr>
            </w:pPr>
            <w:r w:rsidRPr="00D05472">
              <w:rPr>
                <w:rFonts w:ascii="Times New Roman" w:hAnsi="Times New Roman" w:cs="Times New Roman"/>
                <w:sz w:val="24"/>
                <w:szCs w:val="24"/>
              </w:rPr>
              <w:t>Net Profit Margin - 5 Yr. Avg.</w:t>
            </w:r>
          </w:p>
        </w:tc>
        <w:tc>
          <w:tcPr>
            <w:tcW w:w="1440" w:type="dxa"/>
            <w:noWrap/>
            <w:hideMark/>
          </w:tcPr>
          <w:p w:rsidR="00444819" w:rsidRPr="00D05472" w:rsidRDefault="00444819" w:rsidP="00D05472">
            <w:pPr>
              <w:rPr>
                <w:rFonts w:ascii="Times New Roman" w:hAnsi="Times New Roman" w:cs="Times New Roman"/>
                <w:sz w:val="24"/>
                <w:szCs w:val="24"/>
              </w:rPr>
            </w:pPr>
            <w:r w:rsidRPr="00D05472">
              <w:rPr>
                <w:rFonts w:ascii="Times New Roman" w:hAnsi="Times New Roman" w:cs="Times New Roman"/>
                <w:sz w:val="24"/>
                <w:szCs w:val="24"/>
              </w:rPr>
              <w:t>18.73</w:t>
            </w:r>
          </w:p>
        </w:tc>
      </w:tr>
      <w:tr w:rsidR="00444819" w:rsidRPr="00D05472" w:rsidTr="00D05472">
        <w:trPr>
          <w:trHeight w:val="315"/>
        </w:trPr>
        <w:tc>
          <w:tcPr>
            <w:tcW w:w="3775" w:type="dxa"/>
            <w:noWrap/>
            <w:hideMark/>
          </w:tcPr>
          <w:p w:rsidR="00444819" w:rsidRPr="00D05472" w:rsidRDefault="00444819" w:rsidP="00D05472">
            <w:pPr>
              <w:rPr>
                <w:rFonts w:ascii="Times New Roman" w:hAnsi="Times New Roman" w:cs="Times New Roman"/>
                <w:sz w:val="24"/>
                <w:szCs w:val="24"/>
              </w:rPr>
            </w:pPr>
          </w:p>
        </w:tc>
        <w:tc>
          <w:tcPr>
            <w:tcW w:w="1440" w:type="dxa"/>
            <w:noWrap/>
            <w:hideMark/>
          </w:tcPr>
          <w:p w:rsidR="00444819" w:rsidRPr="00D05472" w:rsidRDefault="00444819" w:rsidP="00D05472">
            <w:pPr>
              <w:rPr>
                <w:rFonts w:ascii="Times New Roman" w:hAnsi="Times New Roman" w:cs="Times New Roman"/>
                <w:sz w:val="24"/>
                <w:szCs w:val="24"/>
              </w:rPr>
            </w:pPr>
          </w:p>
        </w:tc>
      </w:tr>
      <w:tr w:rsidR="00444819" w:rsidRPr="00D05472" w:rsidTr="002045BB">
        <w:trPr>
          <w:trHeight w:val="315"/>
        </w:trPr>
        <w:tc>
          <w:tcPr>
            <w:tcW w:w="3775" w:type="dxa"/>
            <w:noWrap/>
          </w:tcPr>
          <w:p w:rsidR="00444819" w:rsidRPr="00D05472" w:rsidRDefault="00444819" w:rsidP="00D05472">
            <w:pPr>
              <w:rPr>
                <w:rFonts w:ascii="Times New Roman" w:hAnsi="Times New Roman" w:cs="Times New Roman"/>
                <w:sz w:val="24"/>
                <w:szCs w:val="24"/>
              </w:rPr>
            </w:pPr>
          </w:p>
        </w:tc>
        <w:tc>
          <w:tcPr>
            <w:tcW w:w="1440" w:type="dxa"/>
            <w:noWrap/>
          </w:tcPr>
          <w:p w:rsidR="00444819" w:rsidRPr="00D05472" w:rsidRDefault="00444819" w:rsidP="00D05472">
            <w:pPr>
              <w:rPr>
                <w:rFonts w:ascii="Times New Roman" w:hAnsi="Times New Roman" w:cs="Times New Roman"/>
                <w:sz w:val="24"/>
                <w:szCs w:val="24"/>
              </w:rPr>
            </w:pPr>
          </w:p>
        </w:tc>
      </w:tr>
    </w:tbl>
    <w:p w:rsidR="00D05472" w:rsidRDefault="00D05472" w:rsidP="00147AF0">
      <w:pPr>
        <w:spacing w:after="0" w:line="480" w:lineRule="auto"/>
        <w:rPr>
          <w:rFonts w:ascii="Times New Roman" w:hAnsi="Times New Roman" w:cs="Times New Roman"/>
          <w:sz w:val="24"/>
          <w:szCs w:val="24"/>
          <w:lang w:val="en-US"/>
        </w:rPr>
      </w:pPr>
    </w:p>
    <w:p w:rsidR="00FE38CB" w:rsidRDefault="00FE38CB" w:rsidP="00D05472">
      <w:pPr>
        <w:spacing w:after="0" w:line="480" w:lineRule="auto"/>
        <w:ind w:firstLine="708"/>
        <w:rPr>
          <w:rFonts w:ascii="Times New Roman" w:hAnsi="Times New Roman" w:cs="Times New Roman"/>
          <w:sz w:val="24"/>
          <w:szCs w:val="24"/>
          <w:lang w:val="en-US"/>
        </w:rPr>
      </w:pPr>
      <w:r w:rsidRPr="00FE38CB">
        <w:rPr>
          <w:rFonts w:ascii="Times New Roman" w:hAnsi="Times New Roman" w:cs="Times New Roman"/>
          <w:sz w:val="24"/>
          <w:szCs w:val="24"/>
          <w:lang w:val="en-US"/>
        </w:rPr>
        <w:t>Price-to-earnings ratio</w:t>
      </w:r>
      <w:r w:rsidR="00D05472">
        <w:rPr>
          <w:rFonts w:ascii="Times New Roman" w:hAnsi="Times New Roman" w:cs="Times New Roman"/>
          <w:sz w:val="24"/>
          <w:szCs w:val="24"/>
          <w:lang w:val="en-US"/>
        </w:rPr>
        <w:t xml:space="preserve">. </w:t>
      </w:r>
      <w:r w:rsidR="00D05472" w:rsidRPr="00D05472">
        <w:rPr>
          <w:rFonts w:ascii="Times New Roman" w:hAnsi="Times New Roman" w:cs="Times New Roman"/>
          <w:sz w:val="24"/>
          <w:szCs w:val="24"/>
          <w:lang w:val="en-US"/>
        </w:rPr>
        <w:t>P/E ratio measures the expected price of a share based on its earnings. A high P/E is favorable because it means that the company has future positive performance and the market is willing to pay more for the company’s shares</w:t>
      </w:r>
      <w:sdt>
        <w:sdtPr>
          <w:rPr>
            <w:rFonts w:ascii="Times New Roman" w:hAnsi="Times New Roman" w:cs="Times New Roman"/>
            <w:sz w:val="24"/>
            <w:szCs w:val="24"/>
            <w:lang w:val="en-US"/>
          </w:rPr>
          <w:id w:val="187117370"/>
          <w:citation/>
        </w:sdtPr>
        <w:sdtContent>
          <w:r w:rsidR="00A312AF">
            <w:rPr>
              <w:rFonts w:ascii="Times New Roman" w:hAnsi="Times New Roman" w:cs="Times New Roman"/>
              <w:sz w:val="24"/>
              <w:szCs w:val="24"/>
              <w:lang w:val="en-US"/>
            </w:rPr>
            <w:fldChar w:fldCharType="begin"/>
          </w:r>
          <w:r w:rsidR="00A312AF">
            <w:rPr>
              <w:rFonts w:ascii="Times New Roman" w:hAnsi="Times New Roman" w:cs="Times New Roman"/>
              <w:sz w:val="24"/>
              <w:szCs w:val="24"/>
              <w:lang w:val="en-US"/>
            </w:rPr>
            <w:instrText xml:space="preserve"> CITATION Edm131 \l 1033 </w:instrText>
          </w:r>
          <w:r w:rsidR="00A312AF">
            <w:rPr>
              <w:rFonts w:ascii="Times New Roman" w:hAnsi="Times New Roman" w:cs="Times New Roman"/>
              <w:sz w:val="24"/>
              <w:szCs w:val="24"/>
              <w:lang w:val="en-US"/>
            </w:rPr>
            <w:fldChar w:fldCharType="separate"/>
          </w:r>
          <w:r w:rsidR="00A312AF">
            <w:rPr>
              <w:rFonts w:ascii="Times New Roman" w:hAnsi="Times New Roman" w:cs="Times New Roman"/>
              <w:noProof/>
              <w:sz w:val="24"/>
              <w:szCs w:val="24"/>
              <w:lang w:val="en-US"/>
            </w:rPr>
            <w:t xml:space="preserve"> </w:t>
          </w:r>
          <w:r w:rsidR="00A312AF" w:rsidRPr="00A312AF">
            <w:rPr>
              <w:rFonts w:ascii="Times New Roman" w:hAnsi="Times New Roman" w:cs="Times New Roman"/>
              <w:noProof/>
              <w:sz w:val="24"/>
              <w:szCs w:val="24"/>
              <w:lang w:val="en-US"/>
            </w:rPr>
            <w:t>(Edmonds, 2013)</w:t>
          </w:r>
          <w:r w:rsidR="00A312AF">
            <w:rPr>
              <w:rFonts w:ascii="Times New Roman" w:hAnsi="Times New Roman" w:cs="Times New Roman"/>
              <w:sz w:val="24"/>
              <w:szCs w:val="24"/>
              <w:lang w:val="en-US"/>
            </w:rPr>
            <w:fldChar w:fldCharType="end"/>
          </w:r>
        </w:sdtContent>
      </w:sdt>
      <w:r w:rsidR="00D05472" w:rsidRPr="00D05472">
        <w:rPr>
          <w:rFonts w:ascii="Times New Roman" w:hAnsi="Times New Roman" w:cs="Times New Roman"/>
          <w:sz w:val="24"/>
          <w:szCs w:val="24"/>
          <w:lang w:val="en-US"/>
        </w:rPr>
        <w:t xml:space="preserve">. P/E ratio of </w:t>
      </w:r>
      <w:r w:rsidR="00444819">
        <w:rPr>
          <w:rFonts w:ascii="Times New Roman" w:hAnsi="Times New Roman" w:cs="Times New Roman"/>
          <w:sz w:val="24"/>
          <w:szCs w:val="24"/>
          <w:lang w:val="en-US"/>
        </w:rPr>
        <w:t xml:space="preserve">both the companies in 2018 is lower than the industry averages, in 2016 P/E ratio of GOOGL is higher than the industry average while P/E of FB is lower than the </w:t>
      </w:r>
      <w:r w:rsidR="00444819">
        <w:rPr>
          <w:rFonts w:ascii="Times New Roman" w:hAnsi="Times New Roman" w:cs="Times New Roman"/>
          <w:sz w:val="24"/>
          <w:szCs w:val="24"/>
          <w:lang w:val="en-US"/>
        </w:rPr>
        <w:lastRenderedPageBreak/>
        <w:t xml:space="preserve">industry average. P/E of both the companies is lower than the industry average. Generally, P/E of the companies for the 3-year period is high, indicating that </w:t>
      </w:r>
      <w:r w:rsidR="00444819" w:rsidRPr="00D05472">
        <w:rPr>
          <w:rFonts w:ascii="Times New Roman" w:hAnsi="Times New Roman" w:cs="Times New Roman"/>
          <w:sz w:val="24"/>
          <w:szCs w:val="24"/>
          <w:lang w:val="en-US"/>
        </w:rPr>
        <w:t>investors</w:t>
      </w:r>
      <w:r w:rsidR="00D05472" w:rsidRPr="00D05472">
        <w:rPr>
          <w:rFonts w:ascii="Times New Roman" w:hAnsi="Times New Roman" w:cs="Times New Roman"/>
          <w:sz w:val="24"/>
          <w:szCs w:val="24"/>
          <w:lang w:val="en-US"/>
        </w:rPr>
        <w:t xml:space="preserve"> are willing to pay more for the compan</w:t>
      </w:r>
      <w:r w:rsidR="00444819">
        <w:rPr>
          <w:rFonts w:ascii="Times New Roman" w:hAnsi="Times New Roman" w:cs="Times New Roman"/>
          <w:sz w:val="24"/>
          <w:szCs w:val="24"/>
          <w:lang w:val="en-US"/>
        </w:rPr>
        <w:t>ies</w:t>
      </w:r>
      <w:r w:rsidR="00D05472" w:rsidRPr="00D05472">
        <w:rPr>
          <w:rFonts w:ascii="Times New Roman" w:hAnsi="Times New Roman" w:cs="Times New Roman"/>
          <w:sz w:val="24"/>
          <w:szCs w:val="24"/>
          <w:lang w:val="en-US"/>
        </w:rPr>
        <w:t>’ shares.</w:t>
      </w:r>
    </w:p>
    <w:p w:rsidR="00166869" w:rsidRDefault="006A530B" w:rsidP="00166869">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Debt-to-Equity ratio. The ratio measures the amount of debt contained in the companies’ capital structure</w:t>
      </w:r>
      <w:sdt>
        <w:sdtPr>
          <w:rPr>
            <w:rFonts w:ascii="Times New Roman" w:hAnsi="Times New Roman" w:cs="Times New Roman"/>
            <w:sz w:val="24"/>
            <w:szCs w:val="24"/>
            <w:lang w:val="en-US"/>
          </w:rPr>
          <w:id w:val="628057586"/>
          <w:citation/>
        </w:sdtPr>
        <w:sdtContent>
          <w:r w:rsidR="00A312AF">
            <w:rPr>
              <w:rFonts w:ascii="Times New Roman" w:hAnsi="Times New Roman" w:cs="Times New Roman"/>
              <w:sz w:val="24"/>
              <w:szCs w:val="24"/>
              <w:lang w:val="en-US"/>
            </w:rPr>
            <w:fldChar w:fldCharType="begin"/>
          </w:r>
          <w:r w:rsidR="00A312AF">
            <w:rPr>
              <w:rFonts w:ascii="Times New Roman" w:hAnsi="Times New Roman" w:cs="Times New Roman"/>
              <w:sz w:val="24"/>
              <w:szCs w:val="24"/>
              <w:lang w:val="en-US"/>
            </w:rPr>
            <w:instrText xml:space="preserve"> CITATION Flo18 \l 1033 </w:instrText>
          </w:r>
          <w:r w:rsidR="00A312AF">
            <w:rPr>
              <w:rFonts w:ascii="Times New Roman" w:hAnsi="Times New Roman" w:cs="Times New Roman"/>
              <w:sz w:val="24"/>
              <w:szCs w:val="24"/>
              <w:lang w:val="en-US"/>
            </w:rPr>
            <w:fldChar w:fldCharType="separate"/>
          </w:r>
          <w:r w:rsidR="00A312AF">
            <w:rPr>
              <w:rFonts w:ascii="Times New Roman" w:hAnsi="Times New Roman" w:cs="Times New Roman"/>
              <w:noProof/>
              <w:sz w:val="24"/>
              <w:szCs w:val="24"/>
              <w:lang w:val="en-US"/>
            </w:rPr>
            <w:t xml:space="preserve"> </w:t>
          </w:r>
          <w:r w:rsidR="00A312AF" w:rsidRPr="00A312AF">
            <w:rPr>
              <w:rFonts w:ascii="Times New Roman" w:hAnsi="Times New Roman" w:cs="Times New Roman"/>
              <w:noProof/>
              <w:sz w:val="24"/>
              <w:szCs w:val="24"/>
              <w:lang w:val="en-US"/>
            </w:rPr>
            <w:t>(Flower, 2018)</w:t>
          </w:r>
          <w:r w:rsidR="00A312AF">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 xml:space="preserve">. A higher ratio shows that one firm is more geared than the other.  </w:t>
      </w:r>
      <w:r w:rsidR="00166869">
        <w:rPr>
          <w:rFonts w:ascii="Times New Roman" w:hAnsi="Times New Roman" w:cs="Times New Roman"/>
          <w:sz w:val="24"/>
          <w:szCs w:val="24"/>
          <w:lang w:val="en-US"/>
        </w:rPr>
        <w:t>Industry average is 41.17%, greater than the companies’ ratios for the 3-year period; this shows that the gearing level of the companies is below the industry average. Debt-to-equity ratio of the companies increases year by year. The gearing level of GOOGL is higher than the gearing Level of FB; this means that FB is less geared than GOOGL.</w:t>
      </w:r>
    </w:p>
    <w:p w:rsidR="00166869" w:rsidRDefault="00166869" w:rsidP="00166869">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Return on equity. </w:t>
      </w:r>
      <w:r w:rsidRPr="00D05472">
        <w:rPr>
          <w:rFonts w:ascii="Times New Roman" w:hAnsi="Times New Roman" w:cs="Times New Roman"/>
          <w:sz w:val="24"/>
          <w:szCs w:val="24"/>
          <w:lang w:val="en-US"/>
        </w:rPr>
        <w:t xml:space="preserve">Return on equity measures how effectively the company management uses its shareholders’ fund to generate net income. The ratio measures the amount of net income generated from every equity dollar used. The higher the ratio the more effective the management. Return on equity </w:t>
      </w:r>
      <w:r w:rsidR="00FC26D8">
        <w:rPr>
          <w:rFonts w:ascii="Times New Roman" w:hAnsi="Times New Roman" w:cs="Times New Roman"/>
          <w:sz w:val="24"/>
          <w:szCs w:val="24"/>
          <w:lang w:val="en-US"/>
        </w:rPr>
        <w:t xml:space="preserve">of FB is greater than the ratio of GOOGL for the entire 3-year period; this implies that FB is more profitable than GOOGL and FB utilizes its shareholders’ fund more effectively than GOOGL. ROE of FB is greater than the industry average; this shows than the company profitability is above the industry average. For GOOGL only ROE for 2018 is higher than the industry average. </w:t>
      </w:r>
    </w:p>
    <w:p w:rsidR="00D05472" w:rsidRPr="00D05472" w:rsidRDefault="00D05472" w:rsidP="00FC26D8">
      <w:pPr>
        <w:spacing w:after="0" w:line="480" w:lineRule="auto"/>
        <w:ind w:firstLine="708"/>
        <w:rPr>
          <w:rFonts w:ascii="Times New Roman" w:hAnsi="Times New Roman" w:cs="Times New Roman"/>
          <w:sz w:val="24"/>
          <w:szCs w:val="24"/>
          <w:lang w:val="en-US"/>
        </w:rPr>
      </w:pPr>
      <w:r w:rsidRPr="00D05472">
        <w:rPr>
          <w:rFonts w:ascii="Times New Roman" w:hAnsi="Times New Roman" w:cs="Times New Roman"/>
          <w:sz w:val="24"/>
          <w:szCs w:val="24"/>
          <w:lang w:val="en-US"/>
        </w:rPr>
        <w:t>Earnings per share</w:t>
      </w:r>
      <w:r>
        <w:rPr>
          <w:rFonts w:ascii="Times New Roman" w:hAnsi="Times New Roman" w:cs="Times New Roman"/>
          <w:sz w:val="24"/>
          <w:szCs w:val="24"/>
          <w:lang w:val="en-US"/>
        </w:rPr>
        <w:t xml:space="preserve">. </w:t>
      </w:r>
      <w:r w:rsidRPr="00D05472">
        <w:rPr>
          <w:rFonts w:ascii="Times New Roman" w:hAnsi="Times New Roman" w:cs="Times New Roman"/>
          <w:sz w:val="24"/>
          <w:szCs w:val="24"/>
          <w:lang w:val="en-US"/>
        </w:rPr>
        <w:t>Earnings per share measure the net income attributable to shares holders per outstanding shares</w:t>
      </w:r>
      <w:sdt>
        <w:sdtPr>
          <w:rPr>
            <w:rFonts w:ascii="Times New Roman" w:hAnsi="Times New Roman" w:cs="Times New Roman"/>
            <w:sz w:val="24"/>
            <w:szCs w:val="24"/>
            <w:lang w:val="en-US"/>
          </w:rPr>
          <w:id w:val="411519037"/>
          <w:citation/>
        </w:sdtPr>
        <w:sdtContent>
          <w:r w:rsidR="00A312AF">
            <w:rPr>
              <w:rFonts w:ascii="Times New Roman" w:hAnsi="Times New Roman" w:cs="Times New Roman"/>
              <w:sz w:val="24"/>
              <w:szCs w:val="24"/>
              <w:lang w:val="en-US"/>
            </w:rPr>
            <w:fldChar w:fldCharType="begin"/>
          </w:r>
          <w:r w:rsidR="00A312AF">
            <w:rPr>
              <w:rFonts w:ascii="Times New Roman" w:hAnsi="Times New Roman" w:cs="Times New Roman"/>
              <w:sz w:val="24"/>
              <w:szCs w:val="24"/>
              <w:lang w:val="en-US"/>
            </w:rPr>
            <w:instrText xml:space="preserve"> CITATION Rob151 \l 1033 </w:instrText>
          </w:r>
          <w:r w:rsidR="00A312AF">
            <w:rPr>
              <w:rFonts w:ascii="Times New Roman" w:hAnsi="Times New Roman" w:cs="Times New Roman"/>
              <w:sz w:val="24"/>
              <w:szCs w:val="24"/>
              <w:lang w:val="en-US"/>
            </w:rPr>
            <w:fldChar w:fldCharType="separate"/>
          </w:r>
          <w:r w:rsidR="00A312AF">
            <w:rPr>
              <w:rFonts w:ascii="Times New Roman" w:hAnsi="Times New Roman" w:cs="Times New Roman"/>
              <w:noProof/>
              <w:sz w:val="24"/>
              <w:szCs w:val="24"/>
              <w:lang w:val="en-US"/>
            </w:rPr>
            <w:t xml:space="preserve"> </w:t>
          </w:r>
          <w:r w:rsidR="00A312AF" w:rsidRPr="00A312AF">
            <w:rPr>
              <w:rFonts w:ascii="Times New Roman" w:hAnsi="Times New Roman" w:cs="Times New Roman"/>
              <w:noProof/>
              <w:sz w:val="24"/>
              <w:szCs w:val="24"/>
              <w:lang w:val="en-US"/>
            </w:rPr>
            <w:t>(Robinson, 2015)</w:t>
          </w:r>
          <w:r w:rsidR="00A312AF">
            <w:rPr>
              <w:rFonts w:ascii="Times New Roman" w:hAnsi="Times New Roman" w:cs="Times New Roman"/>
              <w:sz w:val="24"/>
              <w:szCs w:val="24"/>
              <w:lang w:val="en-US"/>
            </w:rPr>
            <w:fldChar w:fldCharType="end"/>
          </w:r>
        </w:sdtContent>
      </w:sdt>
      <w:r w:rsidRPr="00D05472">
        <w:rPr>
          <w:rFonts w:ascii="Times New Roman" w:hAnsi="Times New Roman" w:cs="Times New Roman"/>
          <w:sz w:val="24"/>
          <w:szCs w:val="24"/>
          <w:lang w:val="en-US"/>
        </w:rPr>
        <w:t>. A higher EPS is favorable because it shows that the company performs well in the market and that the market is willing to pay more on the company’s shares.</w:t>
      </w:r>
      <w:r w:rsidR="00FC26D8">
        <w:rPr>
          <w:rFonts w:ascii="Times New Roman" w:hAnsi="Times New Roman" w:cs="Times New Roman"/>
          <w:sz w:val="24"/>
          <w:szCs w:val="24"/>
          <w:lang w:val="en-US"/>
        </w:rPr>
        <w:t xml:space="preserve"> EPS of GOOGL is higher than FB’S EPS; this implies that the market is willing to pay more on GOOGLE’s shares than on FB’s shares. </w:t>
      </w:r>
    </w:p>
    <w:p w:rsidR="00D05472" w:rsidRDefault="00D05472" w:rsidP="009E7EE8">
      <w:pPr>
        <w:spacing w:after="0" w:line="480" w:lineRule="auto"/>
        <w:ind w:firstLine="708"/>
        <w:rPr>
          <w:rFonts w:ascii="Times New Roman" w:hAnsi="Times New Roman" w:cs="Times New Roman"/>
          <w:sz w:val="24"/>
          <w:szCs w:val="24"/>
          <w:lang w:val="en-US"/>
        </w:rPr>
      </w:pPr>
      <w:r w:rsidRPr="00D05472">
        <w:rPr>
          <w:rFonts w:ascii="Times New Roman" w:hAnsi="Times New Roman" w:cs="Times New Roman"/>
          <w:sz w:val="24"/>
          <w:szCs w:val="24"/>
          <w:lang w:val="en-US"/>
        </w:rPr>
        <w:t>Profit Margin</w:t>
      </w:r>
      <w:r>
        <w:rPr>
          <w:rFonts w:ascii="Times New Roman" w:hAnsi="Times New Roman" w:cs="Times New Roman"/>
          <w:sz w:val="24"/>
          <w:szCs w:val="24"/>
          <w:lang w:val="en-US"/>
        </w:rPr>
        <w:t xml:space="preserve">. </w:t>
      </w:r>
      <w:r w:rsidRPr="00D05472">
        <w:rPr>
          <w:rFonts w:ascii="Times New Roman" w:hAnsi="Times New Roman" w:cs="Times New Roman"/>
          <w:sz w:val="24"/>
          <w:szCs w:val="24"/>
          <w:lang w:val="en-US"/>
        </w:rPr>
        <w:t>Profit Margin measures the percentage of net income compared to net sales. It indirectly measures the ability of the company to control its operating and non-</w:t>
      </w:r>
      <w:r w:rsidRPr="00D05472">
        <w:rPr>
          <w:rFonts w:ascii="Times New Roman" w:hAnsi="Times New Roman" w:cs="Times New Roman"/>
          <w:sz w:val="24"/>
          <w:szCs w:val="24"/>
          <w:lang w:val="en-US"/>
        </w:rPr>
        <w:lastRenderedPageBreak/>
        <w:t>operating expenses</w:t>
      </w:r>
      <w:sdt>
        <w:sdtPr>
          <w:rPr>
            <w:rFonts w:ascii="Times New Roman" w:hAnsi="Times New Roman" w:cs="Times New Roman"/>
            <w:sz w:val="24"/>
            <w:szCs w:val="24"/>
            <w:lang w:val="en-US"/>
          </w:rPr>
          <w:id w:val="1545567016"/>
          <w:citation/>
        </w:sdtPr>
        <w:sdtContent>
          <w:r w:rsidR="00A312AF">
            <w:rPr>
              <w:rFonts w:ascii="Times New Roman" w:hAnsi="Times New Roman" w:cs="Times New Roman"/>
              <w:sz w:val="24"/>
              <w:szCs w:val="24"/>
              <w:lang w:val="en-US"/>
            </w:rPr>
            <w:fldChar w:fldCharType="begin"/>
          </w:r>
          <w:r w:rsidR="00A312AF">
            <w:rPr>
              <w:rFonts w:ascii="Times New Roman" w:hAnsi="Times New Roman" w:cs="Times New Roman"/>
              <w:sz w:val="24"/>
              <w:szCs w:val="24"/>
              <w:lang w:val="en-US"/>
            </w:rPr>
            <w:instrText xml:space="preserve"> CITATION Wah14 \l 1033 </w:instrText>
          </w:r>
          <w:r w:rsidR="00A312AF">
            <w:rPr>
              <w:rFonts w:ascii="Times New Roman" w:hAnsi="Times New Roman" w:cs="Times New Roman"/>
              <w:sz w:val="24"/>
              <w:szCs w:val="24"/>
              <w:lang w:val="en-US"/>
            </w:rPr>
            <w:fldChar w:fldCharType="separate"/>
          </w:r>
          <w:r w:rsidR="00A312AF">
            <w:rPr>
              <w:rFonts w:ascii="Times New Roman" w:hAnsi="Times New Roman" w:cs="Times New Roman"/>
              <w:noProof/>
              <w:sz w:val="24"/>
              <w:szCs w:val="24"/>
              <w:lang w:val="en-US"/>
            </w:rPr>
            <w:t xml:space="preserve"> </w:t>
          </w:r>
          <w:r w:rsidR="00A312AF" w:rsidRPr="00A312AF">
            <w:rPr>
              <w:rFonts w:ascii="Times New Roman" w:hAnsi="Times New Roman" w:cs="Times New Roman"/>
              <w:noProof/>
              <w:sz w:val="24"/>
              <w:szCs w:val="24"/>
              <w:lang w:val="en-US"/>
            </w:rPr>
            <w:t>(Wahlen, 2014)</w:t>
          </w:r>
          <w:r w:rsidR="00A312AF">
            <w:rPr>
              <w:rFonts w:ascii="Times New Roman" w:hAnsi="Times New Roman" w:cs="Times New Roman"/>
              <w:sz w:val="24"/>
              <w:szCs w:val="24"/>
              <w:lang w:val="en-US"/>
            </w:rPr>
            <w:fldChar w:fldCharType="end"/>
          </w:r>
        </w:sdtContent>
      </w:sdt>
      <w:r w:rsidRPr="00D05472">
        <w:rPr>
          <w:rFonts w:ascii="Times New Roman" w:hAnsi="Times New Roman" w:cs="Times New Roman"/>
          <w:sz w:val="24"/>
          <w:szCs w:val="24"/>
          <w:lang w:val="en-US"/>
        </w:rPr>
        <w:t xml:space="preserve">. </w:t>
      </w:r>
      <w:r w:rsidR="009E7EE8">
        <w:rPr>
          <w:rFonts w:ascii="Times New Roman" w:hAnsi="Times New Roman" w:cs="Times New Roman"/>
          <w:sz w:val="24"/>
          <w:szCs w:val="24"/>
          <w:lang w:val="en-US"/>
        </w:rPr>
        <w:t>Profit Margin</w:t>
      </w:r>
      <w:r w:rsidR="009E7EE8" w:rsidRPr="009E7EE8">
        <w:rPr>
          <w:rFonts w:ascii="Times New Roman" w:hAnsi="Times New Roman" w:cs="Times New Roman"/>
          <w:sz w:val="24"/>
          <w:szCs w:val="24"/>
          <w:lang w:val="en-US"/>
        </w:rPr>
        <w:t xml:space="preserve"> of FB is greater than the ratio of GOOGL for the entire 3-year period; this implies that FB is more profitable than GOOGL</w:t>
      </w:r>
      <w:r w:rsidR="009E7EE8">
        <w:rPr>
          <w:rFonts w:ascii="Times New Roman" w:hAnsi="Times New Roman" w:cs="Times New Roman"/>
          <w:sz w:val="24"/>
          <w:szCs w:val="24"/>
          <w:lang w:val="en-US"/>
        </w:rPr>
        <w:t xml:space="preserve">, </w:t>
      </w:r>
      <w:r w:rsidR="009E7EE8" w:rsidRPr="009E7EE8">
        <w:rPr>
          <w:rFonts w:ascii="Times New Roman" w:hAnsi="Times New Roman" w:cs="Times New Roman"/>
          <w:sz w:val="24"/>
          <w:szCs w:val="24"/>
          <w:lang w:val="en-US"/>
        </w:rPr>
        <w:t xml:space="preserve">FB </w:t>
      </w:r>
      <w:r w:rsidR="009E7EE8">
        <w:rPr>
          <w:rFonts w:ascii="Times New Roman" w:hAnsi="Times New Roman" w:cs="Times New Roman"/>
          <w:sz w:val="24"/>
          <w:szCs w:val="24"/>
          <w:lang w:val="en-US"/>
        </w:rPr>
        <w:t>exercise more control over its total costs than GOOGL</w:t>
      </w:r>
      <w:r w:rsidR="009E7EE8" w:rsidRPr="009E7EE8">
        <w:rPr>
          <w:rFonts w:ascii="Times New Roman" w:hAnsi="Times New Roman" w:cs="Times New Roman"/>
          <w:sz w:val="24"/>
          <w:szCs w:val="24"/>
          <w:lang w:val="en-US"/>
        </w:rPr>
        <w:t xml:space="preserve">. </w:t>
      </w:r>
      <w:r w:rsidR="009E7EE8">
        <w:rPr>
          <w:rFonts w:ascii="Times New Roman" w:hAnsi="Times New Roman" w:cs="Times New Roman"/>
          <w:sz w:val="24"/>
          <w:szCs w:val="24"/>
          <w:lang w:val="en-US"/>
        </w:rPr>
        <w:t>Profit margin</w:t>
      </w:r>
      <w:r w:rsidR="009E7EE8" w:rsidRPr="009E7EE8">
        <w:rPr>
          <w:rFonts w:ascii="Times New Roman" w:hAnsi="Times New Roman" w:cs="Times New Roman"/>
          <w:sz w:val="24"/>
          <w:szCs w:val="24"/>
          <w:lang w:val="en-US"/>
        </w:rPr>
        <w:t xml:space="preserve"> of FB is greater than the industry average; this shows than the company profitability is above the industry average. </w:t>
      </w:r>
    </w:p>
    <w:p w:rsidR="009E7EE8" w:rsidRDefault="009E7EE8" w:rsidP="009E7EE8">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Free cash flows </w:t>
      </w:r>
      <w:r w:rsidR="00FE3026">
        <w:rPr>
          <w:rFonts w:ascii="Times New Roman" w:hAnsi="Times New Roman" w:cs="Times New Roman"/>
          <w:sz w:val="24"/>
          <w:szCs w:val="24"/>
          <w:lang w:val="en-US"/>
        </w:rPr>
        <w:t>are</w:t>
      </w:r>
      <w:r>
        <w:rPr>
          <w:rFonts w:ascii="Times New Roman" w:hAnsi="Times New Roman" w:cs="Times New Roman"/>
          <w:sz w:val="24"/>
          <w:szCs w:val="24"/>
          <w:lang w:val="en-US"/>
        </w:rPr>
        <w:t xml:space="preserve"> the cash generated by the companies after cash outflows to support operations and maintains their capital assets</w:t>
      </w:r>
      <w:sdt>
        <w:sdtPr>
          <w:rPr>
            <w:rFonts w:ascii="Times New Roman" w:hAnsi="Times New Roman" w:cs="Times New Roman"/>
            <w:sz w:val="24"/>
            <w:szCs w:val="24"/>
            <w:lang w:val="en-US"/>
          </w:rPr>
          <w:id w:val="368509414"/>
          <w:citation/>
        </w:sdtPr>
        <w:sdtContent>
          <w:r w:rsidR="00A312AF">
            <w:rPr>
              <w:rFonts w:ascii="Times New Roman" w:hAnsi="Times New Roman" w:cs="Times New Roman"/>
              <w:sz w:val="24"/>
              <w:szCs w:val="24"/>
              <w:lang w:val="en-US"/>
            </w:rPr>
            <w:fldChar w:fldCharType="begin"/>
          </w:r>
          <w:r w:rsidR="00A312AF">
            <w:rPr>
              <w:rFonts w:ascii="Times New Roman" w:hAnsi="Times New Roman" w:cs="Times New Roman"/>
              <w:sz w:val="24"/>
              <w:szCs w:val="24"/>
              <w:lang w:val="en-US"/>
            </w:rPr>
            <w:instrText xml:space="preserve"> CITATION War13 \l 1033 </w:instrText>
          </w:r>
          <w:r w:rsidR="00A312AF">
            <w:rPr>
              <w:rFonts w:ascii="Times New Roman" w:hAnsi="Times New Roman" w:cs="Times New Roman"/>
              <w:sz w:val="24"/>
              <w:szCs w:val="24"/>
              <w:lang w:val="en-US"/>
            </w:rPr>
            <w:fldChar w:fldCharType="separate"/>
          </w:r>
          <w:r w:rsidR="00A312AF">
            <w:rPr>
              <w:rFonts w:ascii="Times New Roman" w:hAnsi="Times New Roman" w:cs="Times New Roman"/>
              <w:noProof/>
              <w:sz w:val="24"/>
              <w:szCs w:val="24"/>
              <w:lang w:val="en-US"/>
            </w:rPr>
            <w:t xml:space="preserve"> </w:t>
          </w:r>
          <w:r w:rsidR="00A312AF" w:rsidRPr="00A312AF">
            <w:rPr>
              <w:rFonts w:ascii="Times New Roman" w:hAnsi="Times New Roman" w:cs="Times New Roman"/>
              <w:noProof/>
              <w:sz w:val="24"/>
              <w:szCs w:val="24"/>
              <w:lang w:val="en-US"/>
            </w:rPr>
            <w:t>(Warren, 2013)</w:t>
          </w:r>
          <w:r w:rsidR="00A312AF">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 xml:space="preserve">. Free cash flows </w:t>
      </w:r>
      <w:r w:rsidR="00FE3026">
        <w:rPr>
          <w:rFonts w:ascii="Times New Roman" w:hAnsi="Times New Roman" w:cs="Times New Roman"/>
          <w:sz w:val="24"/>
          <w:szCs w:val="24"/>
          <w:lang w:val="en-US"/>
        </w:rPr>
        <w:t>measure</w:t>
      </w:r>
      <w:r>
        <w:rPr>
          <w:rFonts w:ascii="Times New Roman" w:hAnsi="Times New Roman" w:cs="Times New Roman"/>
          <w:sz w:val="24"/>
          <w:szCs w:val="24"/>
          <w:lang w:val="en-US"/>
        </w:rPr>
        <w:t xml:space="preserve"> the profitability of</w:t>
      </w:r>
      <w:r w:rsidR="00FE3026">
        <w:rPr>
          <w:rFonts w:ascii="Times New Roman" w:hAnsi="Times New Roman" w:cs="Times New Roman"/>
          <w:sz w:val="24"/>
          <w:szCs w:val="24"/>
          <w:lang w:val="en-US"/>
        </w:rPr>
        <w:t xml:space="preserve"> the companies by considering only cash expenses of the income statement, spending on property, plant, and equipment, and changes in working capital. Free cash flows of GOOFL is greater than the value of FB; these means that GOOGL utilizes cash more effectively than FB and as such, it is more liquid than FB. </w:t>
      </w:r>
    </w:p>
    <w:p w:rsidR="009B7E15" w:rsidRDefault="009B7E15" w:rsidP="009E7EE8">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From the analysis the companies are considered as the value companies since they have already grown big in the industry. the companies are now working towards maximizing their values. Based on the analysis an investor should consider investing in FB since it has a good financial health with a profitability level above the industry average Both P/E and EPS of FB is high, indicating future positive growth. Even though the standard deviation of the return of FB is higher than the standard deviation of GOOGL, FB is still the best company for investment due to higher mean return than GOOGL. </w:t>
      </w:r>
    </w:p>
    <w:p w:rsidR="009B7E15" w:rsidRDefault="009B7E15" w:rsidP="009E7EE8">
      <w:pPr>
        <w:spacing w:after="0" w:line="480" w:lineRule="auto"/>
        <w:ind w:firstLine="708"/>
        <w:rPr>
          <w:rFonts w:ascii="Times New Roman" w:hAnsi="Times New Roman" w:cs="Times New Roman"/>
          <w:sz w:val="24"/>
          <w:szCs w:val="24"/>
          <w:lang w:val="en-US"/>
        </w:rPr>
      </w:pPr>
    </w:p>
    <w:p w:rsidR="009B7E15" w:rsidRDefault="009B7E15" w:rsidP="009E7EE8">
      <w:pPr>
        <w:spacing w:after="0" w:line="480" w:lineRule="auto"/>
        <w:ind w:firstLine="708"/>
        <w:rPr>
          <w:rFonts w:ascii="Times New Roman" w:hAnsi="Times New Roman" w:cs="Times New Roman"/>
          <w:sz w:val="24"/>
          <w:szCs w:val="24"/>
          <w:lang w:val="en-US"/>
        </w:rPr>
      </w:pPr>
    </w:p>
    <w:p w:rsidR="009B7E15" w:rsidRDefault="009B7E15" w:rsidP="009E7EE8">
      <w:pPr>
        <w:spacing w:after="0" w:line="480" w:lineRule="auto"/>
        <w:ind w:firstLine="708"/>
        <w:rPr>
          <w:rFonts w:ascii="Times New Roman" w:hAnsi="Times New Roman" w:cs="Times New Roman"/>
          <w:sz w:val="24"/>
          <w:szCs w:val="24"/>
          <w:lang w:val="en-US"/>
        </w:rPr>
      </w:pPr>
    </w:p>
    <w:p w:rsidR="009B7E15" w:rsidRDefault="009B7E15" w:rsidP="009E7EE8">
      <w:pPr>
        <w:spacing w:after="0" w:line="480" w:lineRule="auto"/>
        <w:ind w:firstLine="708"/>
        <w:rPr>
          <w:rFonts w:ascii="Times New Roman" w:hAnsi="Times New Roman" w:cs="Times New Roman"/>
          <w:sz w:val="24"/>
          <w:szCs w:val="24"/>
          <w:lang w:val="en-US"/>
        </w:rPr>
      </w:pPr>
    </w:p>
    <w:p w:rsidR="009B7E15" w:rsidRDefault="009B7E15" w:rsidP="009E7EE8">
      <w:pPr>
        <w:spacing w:after="0" w:line="480" w:lineRule="auto"/>
        <w:ind w:firstLine="708"/>
        <w:rPr>
          <w:rFonts w:ascii="Times New Roman" w:hAnsi="Times New Roman" w:cs="Times New Roman"/>
          <w:sz w:val="24"/>
          <w:szCs w:val="24"/>
          <w:lang w:val="en-US"/>
        </w:rPr>
      </w:pPr>
    </w:p>
    <w:p w:rsidR="009B7E15" w:rsidRDefault="009B7E15" w:rsidP="009E7EE8">
      <w:pPr>
        <w:spacing w:after="0" w:line="480" w:lineRule="auto"/>
        <w:ind w:firstLine="708"/>
        <w:rPr>
          <w:rFonts w:ascii="Times New Roman" w:hAnsi="Times New Roman" w:cs="Times New Roman"/>
          <w:sz w:val="24"/>
          <w:szCs w:val="24"/>
          <w:lang w:val="en-US"/>
        </w:rPr>
      </w:pPr>
    </w:p>
    <w:p w:rsidR="009B7E15" w:rsidRDefault="009B7E15" w:rsidP="009E7EE8">
      <w:pPr>
        <w:spacing w:after="0" w:line="480" w:lineRule="auto"/>
        <w:ind w:firstLine="708"/>
        <w:rPr>
          <w:rFonts w:ascii="Times New Roman" w:hAnsi="Times New Roman" w:cs="Times New Roman"/>
          <w:sz w:val="24"/>
          <w:szCs w:val="24"/>
          <w:lang w:val="en-US"/>
        </w:rPr>
      </w:pPr>
    </w:p>
    <w:p w:rsidR="00164C00" w:rsidRDefault="00164C00" w:rsidP="00E7239B">
      <w:pPr>
        <w:spacing w:after="0" w:line="480" w:lineRule="auto"/>
        <w:rPr>
          <w:rFonts w:ascii="Times New Roman" w:hAnsi="Times New Roman" w:cs="Times New Roman"/>
          <w:sz w:val="24"/>
          <w:szCs w:val="24"/>
          <w:lang w:val="en-US"/>
        </w:rPr>
      </w:pPr>
      <w:bookmarkStart w:id="0" w:name="_GoBack"/>
      <w:bookmarkEnd w:id="0"/>
    </w:p>
    <w:sdt>
      <w:sdtPr>
        <w:rPr>
          <w:rFonts w:ascii="Times New Roman" w:hAnsi="Times New Roman" w:cs="Times New Roman"/>
          <w:sz w:val="24"/>
          <w:szCs w:val="24"/>
        </w:rPr>
        <w:id w:val="1162824383"/>
        <w:docPartObj>
          <w:docPartGallery w:val="Bibliographies"/>
          <w:docPartUnique/>
        </w:docPartObj>
      </w:sdtPr>
      <w:sdtContent>
        <w:p w:rsidR="009B7E15" w:rsidRPr="009B7E15" w:rsidRDefault="009B7E15" w:rsidP="00164C00">
          <w:pPr>
            <w:keepNext/>
            <w:keepLines/>
            <w:spacing w:before="240" w:after="0" w:line="480" w:lineRule="auto"/>
            <w:jc w:val="center"/>
            <w:outlineLvl w:val="0"/>
            <w:rPr>
              <w:rFonts w:ascii="Times New Roman" w:eastAsiaTheme="majorEastAsia" w:hAnsi="Times New Roman" w:cs="Times New Roman"/>
              <w:sz w:val="24"/>
              <w:szCs w:val="24"/>
              <w:lang w:val="en-US"/>
            </w:rPr>
          </w:pPr>
          <w:r w:rsidRPr="009B7E15">
            <w:rPr>
              <w:rFonts w:ascii="Times New Roman" w:eastAsiaTheme="majorEastAsia" w:hAnsi="Times New Roman" w:cs="Times New Roman"/>
              <w:sz w:val="24"/>
              <w:szCs w:val="24"/>
              <w:lang w:val="en-US"/>
            </w:rPr>
            <w:t>References</w:t>
          </w:r>
        </w:p>
        <w:sdt>
          <w:sdtPr>
            <w:rPr>
              <w:rFonts w:ascii="Times New Roman" w:hAnsi="Times New Roman" w:cs="Times New Roman"/>
              <w:sz w:val="24"/>
              <w:szCs w:val="24"/>
            </w:rPr>
            <w:id w:val="-573587230"/>
            <w:bibliography/>
          </w:sdtPr>
          <w:sdtContent>
            <w:p w:rsidR="009B7E15" w:rsidRPr="009B7E15" w:rsidRDefault="009B7E15" w:rsidP="00164C00">
              <w:pPr>
                <w:spacing w:line="480" w:lineRule="auto"/>
                <w:ind w:left="720" w:hanging="720"/>
                <w:rPr>
                  <w:rFonts w:ascii="Times New Roman" w:hAnsi="Times New Roman" w:cs="Times New Roman"/>
                  <w:noProof/>
                  <w:sz w:val="24"/>
                  <w:szCs w:val="24"/>
                </w:rPr>
              </w:pPr>
              <w:r w:rsidRPr="009B7E15">
                <w:rPr>
                  <w:rFonts w:ascii="Times New Roman" w:hAnsi="Times New Roman" w:cs="Times New Roman"/>
                  <w:sz w:val="24"/>
                  <w:szCs w:val="24"/>
                </w:rPr>
                <w:fldChar w:fldCharType="begin"/>
              </w:r>
              <w:r w:rsidRPr="009B7E15">
                <w:rPr>
                  <w:rFonts w:ascii="Times New Roman" w:hAnsi="Times New Roman" w:cs="Times New Roman"/>
                  <w:sz w:val="24"/>
                  <w:szCs w:val="24"/>
                </w:rPr>
                <w:instrText xml:space="preserve"> BIBLIOGRAPHY </w:instrText>
              </w:r>
              <w:r w:rsidRPr="009B7E15">
                <w:rPr>
                  <w:rFonts w:ascii="Times New Roman" w:hAnsi="Times New Roman" w:cs="Times New Roman"/>
                  <w:sz w:val="24"/>
                  <w:szCs w:val="24"/>
                </w:rPr>
                <w:fldChar w:fldCharType="separate"/>
              </w:r>
              <w:r w:rsidRPr="009B7E15">
                <w:rPr>
                  <w:rFonts w:ascii="Times New Roman" w:hAnsi="Times New Roman" w:cs="Times New Roman"/>
                  <w:noProof/>
                  <w:sz w:val="24"/>
                  <w:szCs w:val="24"/>
                </w:rPr>
                <w:t xml:space="preserve">Edmonds, T. P. (2013). </w:t>
              </w:r>
              <w:r w:rsidRPr="009B7E15">
                <w:rPr>
                  <w:rFonts w:ascii="Times New Roman" w:hAnsi="Times New Roman" w:cs="Times New Roman"/>
                  <w:i/>
                  <w:iCs/>
                  <w:noProof/>
                  <w:sz w:val="24"/>
                  <w:szCs w:val="24"/>
                </w:rPr>
                <w:t>Fundamental financial accounting concepts.</w:t>
              </w:r>
              <w:r w:rsidRPr="009B7E15">
                <w:rPr>
                  <w:rFonts w:ascii="Times New Roman" w:hAnsi="Times New Roman" w:cs="Times New Roman"/>
                  <w:noProof/>
                  <w:sz w:val="24"/>
                  <w:szCs w:val="24"/>
                </w:rPr>
                <w:t xml:space="preserve"> New York, NY: McGraw-Hill Irwin.</w:t>
              </w:r>
            </w:p>
            <w:p w:rsidR="009B7E15" w:rsidRPr="009B7E15" w:rsidRDefault="009B7E15" w:rsidP="00164C00">
              <w:pPr>
                <w:spacing w:line="480" w:lineRule="auto"/>
                <w:ind w:left="720" w:hanging="720"/>
                <w:rPr>
                  <w:rFonts w:ascii="Times New Roman" w:hAnsi="Times New Roman" w:cs="Times New Roman"/>
                  <w:noProof/>
                  <w:sz w:val="24"/>
                  <w:szCs w:val="24"/>
                </w:rPr>
              </w:pPr>
              <w:r w:rsidRPr="009B7E15">
                <w:rPr>
                  <w:rFonts w:ascii="Times New Roman" w:hAnsi="Times New Roman" w:cs="Times New Roman"/>
                  <w:noProof/>
                  <w:sz w:val="24"/>
                  <w:szCs w:val="24"/>
                </w:rPr>
                <w:t xml:space="preserve">Flower, J. (2018). </w:t>
              </w:r>
              <w:r w:rsidRPr="009B7E15">
                <w:rPr>
                  <w:rFonts w:ascii="Times New Roman" w:hAnsi="Times New Roman" w:cs="Times New Roman"/>
                  <w:i/>
                  <w:iCs/>
                  <w:noProof/>
                  <w:sz w:val="24"/>
                  <w:szCs w:val="24"/>
                </w:rPr>
                <w:t>Global financial reporting.</w:t>
              </w:r>
              <w:r w:rsidRPr="009B7E15">
                <w:rPr>
                  <w:rFonts w:ascii="Times New Roman" w:hAnsi="Times New Roman" w:cs="Times New Roman"/>
                  <w:noProof/>
                  <w:sz w:val="24"/>
                  <w:szCs w:val="24"/>
                </w:rPr>
                <w:t xml:space="preserve"> Macmillan International Higher Education.</w:t>
              </w:r>
            </w:p>
            <w:p w:rsidR="009B7E15" w:rsidRPr="009B7E15" w:rsidRDefault="009B7E15" w:rsidP="00164C00">
              <w:pPr>
                <w:spacing w:line="480" w:lineRule="auto"/>
                <w:ind w:left="720" w:hanging="720"/>
                <w:rPr>
                  <w:rFonts w:ascii="Times New Roman" w:hAnsi="Times New Roman" w:cs="Times New Roman"/>
                  <w:noProof/>
                  <w:sz w:val="24"/>
                  <w:szCs w:val="24"/>
                </w:rPr>
              </w:pPr>
              <w:r w:rsidRPr="009B7E15">
                <w:rPr>
                  <w:rFonts w:ascii="Times New Roman" w:hAnsi="Times New Roman" w:cs="Times New Roman"/>
                  <w:noProof/>
                  <w:sz w:val="24"/>
                  <w:szCs w:val="24"/>
                </w:rPr>
                <w:t xml:space="preserve">Robinson, T. R. (2015). </w:t>
              </w:r>
              <w:r w:rsidRPr="009B7E15">
                <w:rPr>
                  <w:rFonts w:ascii="Times New Roman" w:hAnsi="Times New Roman" w:cs="Times New Roman"/>
                  <w:i/>
                  <w:iCs/>
                  <w:noProof/>
                  <w:sz w:val="24"/>
                  <w:szCs w:val="24"/>
                </w:rPr>
                <w:t>International financial statement analysis.</w:t>
              </w:r>
              <w:r w:rsidRPr="009B7E15">
                <w:rPr>
                  <w:rFonts w:ascii="Times New Roman" w:hAnsi="Times New Roman" w:cs="Times New Roman"/>
                  <w:noProof/>
                  <w:sz w:val="24"/>
                  <w:szCs w:val="24"/>
                </w:rPr>
                <w:t xml:space="preserve"> John Wiley &amp; Sons.</w:t>
              </w:r>
            </w:p>
            <w:p w:rsidR="009B7E15" w:rsidRPr="009B7E15" w:rsidRDefault="009B7E15" w:rsidP="00164C00">
              <w:pPr>
                <w:spacing w:line="480" w:lineRule="auto"/>
                <w:ind w:left="720" w:hanging="720"/>
                <w:rPr>
                  <w:rFonts w:ascii="Times New Roman" w:hAnsi="Times New Roman" w:cs="Times New Roman"/>
                  <w:noProof/>
                  <w:sz w:val="24"/>
                  <w:szCs w:val="24"/>
                </w:rPr>
              </w:pPr>
              <w:r w:rsidRPr="009B7E15">
                <w:rPr>
                  <w:rFonts w:ascii="Times New Roman" w:hAnsi="Times New Roman" w:cs="Times New Roman"/>
                  <w:noProof/>
                  <w:sz w:val="24"/>
                  <w:szCs w:val="24"/>
                </w:rPr>
                <w:t xml:space="preserve">Wahlen, J. M. (2014). </w:t>
              </w:r>
              <w:r w:rsidRPr="009B7E15">
                <w:rPr>
                  <w:rFonts w:ascii="Times New Roman" w:hAnsi="Times New Roman" w:cs="Times New Roman"/>
                  <w:i/>
                  <w:iCs/>
                  <w:noProof/>
                  <w:sz w:val="24"/>
                  <w:szCs w:val="24"/>
                </w:rPr>
                <w:t>Financial reporting, financial statement analysis and valuation.</w:t>
              </w:r>
              <w:r w:rsidRPr="009B7E15">
                <w:rPr>
                  <w:rFonts w:ascii="Times New Roman" w:hAnsi="Times New Roman" w:cs="Times New Roman"/>
                  <w:noProof/>
                  <w:sz w:val="24"/>
                  <w:szCs w:val="24"/>
                </w:rPr>
                <w:t xml:space="preserve"> Nelson Education.</w:t>
              </w:r>
            </w:p>
            <w:p w:rsidR="009B7E15" w:rsidRPr="009B7E15" w:rsidRDefault="009B7E15" w:rsidP="00164C00">
              <w:pPr>
                <w:spacing w:line="480" w:lineRule="auto"/>
                <w:ind w:left="720" w:hanging="720"/>
                <w:rPr>
                  <w:rFonts w:ascii="Times New Roman" w:hAnsi="Times New Roman" w:cs="Times New Roman"/>
                  <w:noProof/>
                  <w:sz w:val="24"/>
                  <w:szCs w:val="24"/>
                </w:rPr>
              </w:pPr>
              <w:r w:rsidRPr="009B7E15">
                <w:rPr>
                  <w:rFonts w:ascii="Times New Roman" w:hAnsi="Times New Roman" w:cs="Times New Roman"/>
                  <w:noProof/>
                  <w:sz w:val="24"/>
                  <w:szCs w:val="24"/>
                </w:rPr>
                <w:t xml:space="preserve">Warren, C. R. (2013). </w:t>
              </w:r>
              <w:r w:rsidRPr="009B7E15">
                <w:rPr>
                  <w:rFonts w:ascii="Times New Roman" w:hAnsi="Times New Roman" w:cs="Times New Roman"/>
                  <w:i/>
                  <w:iCs/>
                  <w:noProof/>
                  <w:sz w:val="24"/>
                  <w:szCs w:val="24"/>
                </w:rPr>
                <w:t>Financial &amp; managerial accounting.</w:t>
              </w:r>
              <w:r w:rsidRPr="009B7E15">
                <w:rPr>
                  <w:rFonts w:ascii="Times New Roman" w:hAnsi="Times New Roman" w:cs="Times New Roman"/>
                  <w:noProof/>
                  <w:sz w:val="24"/>
                  <w:szCs w:val="24"/>
                </w:rPr>
                <w:t xml:space="preserve"> Cengage Learning.</w:t>
              </w:r>
            </w:p>
            <w:p w:rsidR="009B7E15" w:rsidRPr="009B7E15" w:rsidRDefault="009B7E15" w:rsidP="00164C00">
              <w:pPr>
                <w:spacing w:line="480" w:lineRule="auto"/>
                <w:rPr>
                  <w:rFonts w:ascii="Times New Roman" w:hAnsi="Times New Roman" w:cs="Times New Roman"/>
                  <w:sz w:val="24"/>
                  <w:szCs w:val="24"/>
                </w:rPr>
              </w:pPr>
              <w:r w:rsidRPr="009B7E15">
                <w:rPr>
                  <w:rFonts w:ascii="Times New Roman" w:hAnsi="Times New Roman" w:cs="Times New Roman"/>
                  <w:b/>
                  <w:bCs/>
                  <w:noProof/>
                  <w:sz w:val="24"/>
                  <w:szCs w:val="24"/>
                </w:rPr>
                <w:fldChar w:fldCharType="end"/>
              </w:r>
            </w:p>
          </w:sdtContent>
        </w:sdt>
      </w:sdtContent>
    </w:sdt>
    <w:p w:rsidR="009B7E15" w:rsidRDefault="009B7E15" w:rsidP="009E7EE8">
      <w:pPr>
        <w:spacing w:after="0" w:line="480" w:lineRule="auto"/>
        <w:ind w:firstLine="708"/>
        <w:rPr>
          <w:rFonts w:ascii="Times New Roman" w:hAnsi="Times New Roman" w:cs="Times New Roman"/>
          <w:sz w:val="24"/>
          <w:szCs w:val="24"/>
          <w:lang w:val="en-US"/>
        </w:rPr>
      </w:pPr>
    </w:p>
    <w:p w:rsidR="00F47EB6" w:rsidRPr="009E7EE8" w:rsidRDefault="00F47EB6" w:rsidP="00F47EB6">
      <w:pPr>
        <w:spacing w:after="0" w:line="480" w:lineRule="auto"/>
        <w:rPr>
          <w:rFonts w:ascii="Times New Roman" w:hAnsi="Times New Roman" w:cs="Times New Roman"/>
          <w:sz w:val="24"/>
          <w:szCs w:val="24"/>
          <w:lang w:val="en-US"/>
        </w:rPr>
      </w:pPr>
    </w:p>
    <w:p w:rsidR="00D05472" w:rsidRPr="00D05472" w:rsidRDefault="00D05472" w:rsidP="00D05472">
      <w:pPr>
        <w:spacing w:after="0" w:line="480" w:lineRule="auto"/>
        <w:ind w:firstLine="708"/>
        <w:rPr>
          <w:rFonts w:ascii="Times New Roman" w:hAnsi="Times New Roman" w:cs="Times New Roman"/>
          <w:sz w:val="24"/>
          <w:szCs w:val="24"/>
          <w:lang w:val="en-US"/>
        </w:rPr>
      </w:pPr>
    </w:p>
    <w:p w:rsidR="00FE38CB" w:rsidRDefault="00FE38CB" w:rsidP="00147AF0">
      <w:pPr>
        <w:spacing w:after="0" w:line="480" w:lineRule="auto"/>
        <w:rPr>
          <w:rFonts w:ascii="Times New Roman" w:hAnsi="Times New Roman" w:cs="Times New Roman"/>
          <w:sz w:val="24"/>
          <w:szCs w:val="24"/>
          <w:lang w:val="en-US"/>
        </w:rPr>
      </w:pPr>
    </w:p>
    <w:p w:rsidR="00147AF0" w:rsidRPr="00147AF0" w:rsidRDefault="00147AF0" w:rsidP="00147AF0">
      <w:pPr>
        <w:spacing w:after="0" w:line="480" w:lineRule="auto"/>
        <w:rPr>
          <w:rFonts w:ascii="Times New Roman" w:hAnsi="Times New Roman" w:cs="Times New Roman"/>
          <w:sz w:val="24"/>
          <w:szCs w:val="24"/>
          <w:lang w:val="en-US"/>
        </w:rPr>
      </w:pPr>
    </w:p>
    <w:p w:rsidR="001F1C46" w:rsidRDefault="001F1C46" w:rsidP="001F1C46">
      <w:pPr>
        <w:spacing w:after="0" w:line="480" w:lineRule="auto"/>
        <w:ind w:firstLine="708"/>
        <w:rPr>
          <w:rFonts w:ascii="Times New Roman" w:hAnsi="Times New Roman" w:cs="Times New Roman"/>
          <w:sz w:val="24"/>
          <w:szCs w:val="24"/>
          <w:lang w:val="en-US"/>
        </w:rPr>
      </w:pPr>
    </w:p>
    <w:p w:rsidR="00225161" w:rsidRPr="00561D8E" w:rsidRDefault="00225161" w:rsidP="00561D8E">
      <w:pPr>
        <w:spacing w:after="0" w:line="480" w:lineRule="auto"/>
        <w:rPr>
          <w:rFonts w:ascii="Times New Roman" w:hAnsi="Times New Roman" w:cs="Times New Roman"/>
          <w:sz w:val="24"/>
          <w:szCs w:val="24"/>
          <w:lang w:val="en-US"/>
        </w:rPr>
      </w:pPr>
    </w:p>
    <w:sectPr w:rsidR="00225161" w:rsidRPr="00561D8E"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240" w:rsidRDefault="001F5240" w:rsidP="00735D8B">
      <w:pPr>
        <w:spacing w:after="0" w:line="240" w:lineRule="auto"/>
      </w:pPr>
      <w:r>
        <w:separator/>
      </w:r>
    </w:p>
  </w:endnote>
  <w:endnote w:type="continuationSeparator" w:id="0">
    <w:p w:rsidR="001F5240" w:rsidRDefault="001F5240"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240" w:rsidRDefault="001F5240" w:rsidP="00735D8B">
      <w:pPr>
        <w:spacing w:after="0" w:line="240" w:lineRule="auto"/>
      </w:pPr>
      <w:r>
        <w:separator/>
      </w:r>
    </w:p>
  </w:footnote>
  <w:footnote w:type="continuationSeparator" w:id="0">
    <w:p w:rsidR="001F5240" w:rsidRDefault="001F5240"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655806"/>
      <w:docPartObj>
        <w:docPartGallery w:val="Page Numbers (Top of Page)"/>
        <w:docPartUnique/>
      </w:docPartObj>
    </w:sdtPr>
    <w:sdtEndPr>
      <w:rPr>
        <w:noProof/>
      </w:rPr>
    </w:sdtEndPr>
    <w:sdtContent>
      <w:p w:rsidR="007B3447" w:rsidRPr="007B3447" w:rsidRDefault="00E7239B" w:rsidP="00AD7CEE">
        <w:pPr>
          <w:pStyle w:val="Header"/>
          <w:tabs>
            <w:tab w:val="clear" w:pos="9355"/>
            <w:tab w:val="right" w:pos="9026"/>
          </w:tabs>
          <w:rPr>
            <w:rFonts w:ascii="Times New Roman" w:eastAsia="Times New Roman" w:hAnsi="Times New Roman" w:cs="Times New Roman"/>
            <w:sz w:val="24"/>
            <w:szCs w:val="24"/>
            <w:lang w:val="en-US" w:eastAsia="ru-RU"/>
          </w:rPr>
        </w:pPr>
        <w:r w:rsidRPr="00E7239B">
          <w:rPr>
            <w:rFonts w:ascii="Times New Roman" w:eastAsia="Times New Roman" w:hAnsi="Times New Roman" w:cs="Times New Roman"/>
            <w:sz w:val="24"/>
            <w:szCs w:val="24"/>
            <w:lang w:val="en-US" w:eastAsia="ru-RU"/>
          </w:rPr>
          <w:t>FINANCIAL AND INVESTMENT ANALYSIS REPORT</w:t>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Pr>
            <w:rFonts w:ascii="Times New Roman" w:eastAsia="Times New Roman" w:hAnsi="Times New Roman" w:cs="Times New Roman"/>
            <w:noProof/>
            <w:sz w:val="24"/>
            <w:szCs w:val="24"/>
            <w:lang w:val="en-US" w:eastAsia="ru-RU"/>
          </w:rPr>
          <w:t>6</w:t>
        </w:r>
        <w:r w:rsidR="00AD7CEE" w:rsidRPr="00AD7CEE">
          <w:rPr>
            <w:rFonts w:ascii="Times New Roman" w:eastAsia="Times New Roman" w:hAnsi="Times New Roman" w:cs="Times New Roman"/>
            <w:noProof/>
            <w:sz w:val="24"/>
            <w:szCs w:val="24"/>
            <w:lang w:val="en-US" w:eastAsia="ru-RU"/>
          </w:rPr>
          <w:fldChar w:fldCharType="end"/>
        </w:r>
      </w:p>
      <w:p w:rsidR="00735D8B" w:rsidRPr="007B3447" w:rsidRDefault="001F5240"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E7239B" w:rsidRPr="00E7239B">
      <w:rPr>
        <w:rFonts w:ascii="Times New Roman" w:eastAsia="Times New Roman" w:hAnsi="Times New Roman" w:cs="Times New Roman"/>
        <w:sz w:val="24"/>
        <w:szCs w:val="24"/>
        <w:lang w:val="en-US" w:eastAsia="ru-RU"/>
      </w:rPr>
      <w:t>FINANCIAL AND INVESTMENT ANALYSIS REPORT</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E7239B">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EB"/>
    <w:rsid w:val="00035C0F"/>
    <w:rsid w:val="00042E34"/>
    <w:rsid w:val="000612AB"/>
    <w:rsid w:val="000D3937"/>
    <w:rsid w:val="000D64A2"/>
    <w:rsid w:val="00147AF0"/>
    <w:rsid w:val="00164C00"/>
    <w:rsid w:val="00166869"/>
    <w:rsid w:val="001832B7"/>
    <w:rsid w:val="001F1C46"/>
    <w:rsid w:val="001F5240"/>
    <w:rsid w:val="00225161"/>
    <w:rsid w:val="00257862"/>
    <w:rsid w:val="002C5DE6"/>
    <w:rsid w:val="002E4BA5"/>
    <w:rsid w:val="002F4DC9"/>
    <w:rsid w:val="00392B97"/>
    <w:rsid w:val="00442D75"/>
    <w:rsid w:val="00444819"/>
    <w:rsid w:val="00474190"/>
    <w:rsid w:val="00561D8E"/>
    <w:rsid w:val="005633D2"/>
    <w:rsid w:val="00587AAA"/>
    <w:rsid w:val="005C28CA"/>
    <w:rsid w:val="00655A0D"/>
    <w:rsid w:val="006A530B"/>
    <w:rsid w:val="00734A3E"/>
    <w:rsid w:val="00735D8B"/>
    <w:rsid w:val="0075054D"/>
    <w:rsid w:val="0079016A"/>
    <w:rsid w:val="007B3447"/>
    <w:rsid w:val="009B7E15"/>
    <w:rsid w:val="009E7EE8"/>
    <w:rsid w:val="00A312AF"/>
    <w:rsid w:val="00A93DD6"/>
    <w:rsid w:val="00AC7800"/>
    <w:rsid w:val="00AD7CEE"/>
    <w:rsid w:val="00B86683"/>
    <w:rsid w:val="00CA584A"/>
    <w:rsid w:val="00D05472"/>
    <w:rsid w:val="00D41D6A"/>
    <w:rsid w:val="00DD7D8F"/>
    <w:rsid w:val="00E2262C"/>
    <w:rsid w:val="00E4089C"/>
    <w:rsid w:val="00E7239B"/>
    <w:rsid w:val="00EB592D"/>
    <w:rsid w:val="00F26DEB"/>
    <w:rsid w:val="00F47EB6"/>
    <w:rsid w:val="00F634AD"/>
    <w:rsid w:val="00FA2992"/>
    <w:rsid w:val="00FC26D8"/>
    <w:rsid w:val="00FE3026"/>
    <w:rsid w:val="00FE38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DAE31"/>
  <w15:chartTrackingRefBased/>
  <w15:docId w15:val="{A08AD49F-6659-4E80-8076-9ABD1487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147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15091">
      <w:bodyDiv w:val="1"/>
      <w:marLeft w:val="0"/>
      <w:marRight w:val="0"/>
      <w:marTop w:val="0"/>
      <w:marBottom w:val="0"/>
      <w:divBdr>
        <w:top w:val="none" w:sz="0" w:space="0" w:color="auto"/>
        <w:left w:val="none" w:sz="0" w:space="0" w:color="auto"/>
        <w:bottom w:val="none" w:sz="0" w:space="0" w:color="auto"/>
        <w:right w:val="none" w:sz="0" w:space="0" w:color="auto"/>
      </w:divBdr>
    </w:div>
    <w:div w:id="254484360">
      <w:bodyDiv w:val="1"/>
      <w:marLeft w:val="0"/>
      <w:marRight w:val="0"/>
      <w:marTop w:val="0"/>
      <w:marBottom w:val="0"/>
      <w:divBdr>
        <w:top w:val="none" w:sz="0" w:space="0" w:color="auto"/>
        <w:left w:val="none" w:sz="0" w:space="0" w:color="auto"/>
        <w:bottom w:val="none" w:sz="0" w:space="0" w:color="auto"/>
        <w:right w:val="none" w:sz="0" w:space="0" w:color="auto"/>
      </w:divBdr>
    </w:div>
    <w:div w:id="328673810">
      <w:bodyDiv w:val="1"/>
      <w:marLeft w:val="0"/>
      <w:marRight w:val="0"/>
      <w:marTop w:val="0"/>
      <w:marBottom w:val="0"/>
      <w:divBdr>
        <w:top w:val="none" w:sz="0" w:space="0" w:color="auto"/>
        <w:left w:val="none" w:sz="0" w:space="0" w:color="auto"/>
        <w:bottom w:val="none" w:sz="0" w:space="0" w:color="auto"/>
        <w:right w:val="none" w:sz="0" w:space="0" w:color="auto"/>
      </w:divBdr>
    </w:div>
    <w:div w:id="561672644">
      <w:bodyDiv w:val="1"/>
      <w:marLeft w:val="0"/>
      <w:marRight w:val="0"/>
      <w:marTop w:val="0"/>
      <w:marBottom w:val="0"/>
      <w:divBdr>
        <w:top w:val="none" w:sz="0" w:space="0" w:color="auto"/>
        <w:left w:val="none" w:sz="0" w:space="0" w:color="auto"/>
        <w:bottom w:val="none" w:sz="0" w:space="0" w:color="auto"/>
        <w:right w:val="none" w:sz="0" w:space="0" w:color="auto"/>
      </w:divBdr>
    </w:div>
    <w:div w:id="757286880">
      <w:bodyDiv w:val="1"/>
      <w:marLeft w:val="0"/>
      <w:marRight w:val="0"/>
      <w:marTop w:val="0"/>
      <w:marBottom w:val="0"/>
      <w:divBdr>
        <w:top w:val="none" w:sz="0" w:space="0" w:color="auto"/>
        <w:left w:val="none" w:sz="0" w:space="0" w:color="auto"/>
        <w:bottom w:val="none" w:sz="0" w:space="0" w:color="auto"/>
        <w:right w:val="none" w:sz="0" w:space="0" w:color="auto"/>
      </w:divBdr>
    </w:div>
    <w:div w:id="1007056847">
      <w:bodyDiv w:val="1"/>
      <w:marLeft w:val="0"/>
      <w:marRight w:val="0"/>
      <w:marTop w:val="0"/>
      <w:marBottom w:val="0"/>
      <w:divBdr>
        <w:top w:val="none" w:sz="0" w:space="0" w:color="auto"/>
        <w:left w:val="none" w:sz="0" w:space="0" w:color="auto"/>
        <w:bottom w:val="none" w:sz="0" w:space="0" w:color="auto"/>
        <w:right w:val="none" w:sz="0" w:space="0" w:color="auto"/>
      </w:divBdr>
    </w:div>
    <w:div w:id="1125008579">
      <w:bodyDiv w:val="1"/>
      <w:marLeft w:val="0"/>
      <w:marRight w:val="0"/>
      <w:marTop w:val="0"/>
      <w:marBottom w:val="0"/>
      <w:divBdr>
        <w:top w:val="none" w:sz="0" w:space="0" w:color="auto"/>
        <w:left w:val="none" w:sz="0" w:space="0" w:color="auto"/>
        <w:bottom w:val="none" w:sz="0" w:space="0" w:color="auto"/>
        <w:right w:val="none" w:sz="0" w:space="0" w:color="auto"/>
      </w:divBdr>
    </w:div>
    <w:div w:id="1188522491">
      <w:bodyDiv w:val="1"/>
      <w:marLeft w:val="0"/>
      <w:marRight w:val="0"/>
      <w:marTop w:val="0"/>
      <w:marBottom w:val="0"/>
      <w:divBdr>
        <w:top w:val="none" w:sz="0" w:space="0" w:color="auto"/>
        <w:left w:val="none" w:sz="0" w:space="0" w:color="auto"/>
        <w:bottom w:val="none" w:sz="0" w:space="0" w:color="auto"/>
        <w:right w:val="none" w:sz="0" w:space="0" w:color="auto"/>
      </w:divBdr>
    </w:div>
    <w:div w:id="1209104324">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1615115">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573931509">
      <w:bodyDiv w:val="1"/>
      <w:marLeft w:val="0"/>
      <w:marRight w:val="0"/>
      <w:marTop w:val="0"/>
      <w:marBottom w:val="0"/>
      <w:divBdr>
        <w:top w:val="none" w:sz="0" w:space="0" w:color="auto"/>
        <w:left w:val="none" w:sz="0" w:space="0" w:color="auto"/>
        <w:bottom w:val="none" w:sz="0" w:space="0" w:color="auto"/>
        <w:right w:val="none" w:sz="0" w:space="0" w:color="auto"/>
      </w:divBdr>
    </w:div>
    <w:div w:id="1649363406">
      <w:bodyDiv w:val="1"/>
      <w:marLeft w:val="0"/>
      <w:marRight w:val="0"/>
      <w:marTop w:val="0"/>
      <w:marBottom w:val="0"/>
      <w:divBdr>
        <w:top w:val="none" w:sz="0" w:space="0" w:color="auto"/>
        <w:left w:val="none" w:sz="0" w:space="0" w:color="auto"/>
        <w:bottom w:val="none" w:sz="0" w:space="0" w:color="auto"/>
        <w:right w:val="none" w:sz="0" w:space="0" w:color="auto"/>
      </w:divBdr>
    </w:div>
    <w:div w:id="1710757449">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Edm131</b:Tag>
    <b:SourceType>Book</b:SourceType>
    <b:Guid>{D8B655CB-C121-4029-913A-68BF0B7A9AAA}</b:Guid>
    <b:Author>
      <b:Author>
        <b:NameList>
          <b:Person>
            <b:Last>Edmonds</b:Last>
            <b:First>T.</b:First>
            <b:Middle>P., McNair, F. M., Olds, P. R., &amp; Milam, E. E.</b:Middle>
          </b:Person>
        </b:NameList>
      </b:Author>
    </b:Author>
    <b:Title>Fundamental financial accounting concepts</b:Title>
    <b:Year>2013</b:Year>
    <b:City>New York, NY</b:City>
    <b:Publisher>McGraw-Hill Irwin</b:Publisher>
    <b:RefOrder>1</b:RefOrder>
  </b:Source>
  <b:Source>
    <b:Tag>Rob151</b:Tag>
    <b:SourceType>Book</b:SourceType>
    <b:Guid>{0EB7A049-2386-4D38-AB0F-436C9CF76E62}</b:Guid>
    <b:Author>
      <b:Author>
        <b:NameList>
          <b:Person>
            <b:Last>Robinson</b:Last>
            <b:First>T.</b:First>
            <b:Middle>R., Henry, E., Pirie, W. L., &amp; Broihahn, M. A.</b:Middle>
          </b:Person>
        </b:NameList>
      </b:Author>
    </b:Author>
    <b:Title>International financial statement analysis</b:Title>
    <b:Year>2015</b:Year>
    <b:Publisher>John Wiley &amp; Sons</b:Publisher>
    <b:RefOrder>3</b:RefOrder>
  </b:Source>
  <b:Source>
    <b:Tag>Wah14</b:Tag>
    <b:SourceType>Book</b:SourceType>
    <b:Guid>{20056EDD-8FAC-4A52-ACF0-22CBE08E1DCD}</b:Guid>
    <b:Author>
      <b:Author>
        <b:NameList>
          <b:Person>
            <b:Last>Wahlen</b:Last>
            <b:First>J.</b:First>
            <b:Middle>M., Baginski, S. P., &amp; Bradshaw, M.</b:Middle>
          </b:Person>
        </b:NameList>
      </b:Author>
    </b:Author>
    <b:Title>Financial reporting, financial statement analysis and valuation</b:Title>
    <b:Year>2014</b:Year>
    <b:Publisher>Nelson Education</b:Publisher>
    <b:RefOrder>4</b:RefOrder>
  </b:Source>
  <b:Source>
    <b:Tag>War13</b:Tag>
    <b:SourceType>Book</b:SourceType>
    <b:Guid>{6096ACA0-B49B-43C8-844E-26D941DDA2E7}</b:Guid>
    <b:Author>
      <b:Author>
        <b:NameList>
          <b:Person>
            <b:Last>Warren</b:Last>
            <b:First>C.,</b:First>
            <b:Middle>Reeve, J. M., &amp; Duchac, J.</b:Middle>
          </b:Person>
        </b:NameList>
      </b:Author>
    </b:Author>
    <b:Title>Financial &amp; managerial accounting</b:Title>
    <b:Year>2013</b:Year>
    <b:Publisher>Cengage Learning</b:Publisher>
    <b:RefOrder>5</b:RefOrder>
  </b:Source>
  <b:Source>
    <b:Tag>Alt14</b:Tag>
    <b:SourceType>JournalArticle</b:SourceType>
    <b:Guid>{0AEE61B9-F442-4908-9486-5C92DE47D169}</b:Guid>
    <b:RefOrder>6</b:RefOrder>
  </b:Source>
  <b:Source>
    <b:Tag>Flo18</b:Tag>
    <b:SourceType>Book</b:SourceType>
    <b:Guid>{891299DA-D348-4DBD-A6EE-0A5C30D194AA}</b:Guid>
    <b:Author>
      <b:Author>
        <b:NameList>
          <b:Person>
            <b:Last>Flower</b:Last>
            <b:First>J.</b:First>
          </b:Person>
        </b:NameList>
      </b:Author>
    </b:Author>
    <b:Title>Global financial reporting</b:Title>
    <b:Year>2018</b:Year>
    <b:Publisher>Macmillan International Higher Education</b:Publisher>
    <b:RefOrder>2</b:RefOrder>
  </b:Source>
</b:Sources>
</file>

<file path=customXml/itemProps1.xml><?xml version="1.0" encoding="utf-8"?>
<ds:datastoreItem xmlns:ds="http://schemas.openxmlformats.org/officeDocument/2006/customXml" ds:itemID="{9FBFA1DB-5C3C-499D-B9E9-CE8F42D53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7</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Pete Alice</cp:lastModifiedBy>
  <cp:revision>16</cp:revision>
  <dcterms:created xsi:type="dcterms:W3CDTF">2019-06-24T12:47:00Z</dcterms:created>
  <dcterms:modified xsi:type="dcterms:W3CDTF">2019-06-24T16:36:00Z</dcterms:modified>
</cp:coreProperties>
</file>